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388EEB6F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Pr="004352E2">
        <w:rPr>
          <w:rFonts w:asciiTheme="majorHAnsi" w:hAnsiTheme="majorHAnsi"/>
          <w:b/>
        </w:rPr>
        <w:t xml:space="preserve">DE </w:t>
      </w:r>
      <w:r w:rsidR="00B275BA">
        <w:rPr>
          <w:rFonts w:asciiTheme="majorHAnsi" w:hAnsiTheme="majorHAnsi"/>
          <w:b/>
        </w:rPr>
        <w:t>L’APPAREIL PHOTO HYBRIDE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0303E14E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Représentée par s</w:t>
      </w:r>
      <w:r w:rsidR="004A5554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Président</w:t>
      </w:r>
      <w:r w:rsidR="004A5554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>, M</w:t>
      </w:r>
      <w:r w:rsidR="004A5554">
        <w:rPr>
          <w:rFonts w:asciiTheme="majorHAnsi" w:hAnsiTheme="majorHAnsi"/>
          <w:sz w:val="22"/>
          <w:szCs w:val="22"/>
        </w:rPr>
        <w:t>adame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="004A5554">
        <w:rPr>
          <w:rFonts w:asciiTheme="majorHAnsi" w:hAnsiTheme="majorHAnsi"/>
          <w:sz w:val="22"/>
          <w:szCs w:val="22"/>
        </w:rPr>
        <w:t>Sophie André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</w:p>
    <w:p w14:paraId="3DB5115D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</w:p>
    <w:p w14:paraId="6667FB91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1EC779EC" w:rsidR="00CB626E" w:rsidRPr="00CC42A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</w:t>
      </w:r>
      <w:r w:rsidR="00B275BA">
        <w:rPr>
          <w:rFonts w:asciiTheme="majorHAnsi" w:hAnsiTheme="majorHAnsi"/>
          <w:sz w:val="22"/>
          <w:szCs w:val="22"/>
        </w:rPr>
        <w:t>d’un appareil photo hybride Fujifilm X-T100</w:t>
      </w:r>
      <w:r w:rsidRPr="00CB626E">
        <w:rPr>
          <w:rFonts w:asciiTheme="majorHAnsi" w:hAnsiTheme="majorHAnsi"/>
          <w:sz w:val="22"/>
          <w:szCs w:val="22"/>
        </w:rPr>
        <w:t xml:space="preserve">, avec </w:t>
      </w:r>
      <w:r w:rsidR="00B275BA">
        <w:rPr>
          <w:rFonts w:asciiTheme="majorHAnsi" w:hAnsiTheme="majorHAnsi"/>
          <w:sz w:val="22"/>
          <w:szCs w:val="22"/>
        </w:rPr>
        <w:t>un objectif 15-35mm</w:t>
      </w:r>
      <w:r w:rsidRPr="00CB626E">
        <w:rPr>
          <w:rFonts w:asciiTheme="majorHAnsi" w:hAnsiTheme="majorHAnsi"/>
          <w:sz w:val="22"/>
          <w:szCs w:val="22"/>
        </w:rPr>
        <w:t xml:space="preserve">, </w:t>
      </w:r>
      <w:r w:rsidR="00B275BA">
        <w:rPr>
          <w:rFonts w:asciiTheme="majorHAnsi" w:hAnsiTheme="majorHAnsi"/>
          <w:sz w:val="22"/>
          <w:szCs w:val="22"/>
        </w:rPr>
        <w:t>batterie, carte SD et sac de transport</w:t>
      </w:r>
      <w:r w:rsidRPr="00CB626E">
        <w:rPr>
          <w:rFonts w:asciiTheme="majorHAnsi" w:hAnsiTheme="majorHAnsi"/>
          <w:sz w:val="22"/>
          <w:szCs w:val="22"/>
        </w:rPr>
        <w:t>. Le RECIT</w:t>
      </w:r>
      <w:r>
        <w:rPr>
          <w:rFonts w:asciiTheme="majorHAnsi" w:hAnsiTheme="majorHAnsi"/>
          <w:sz w:val="22"/>
          <w:szCs w:val="22"/>
        </w:rPr>
        <w:t xml:space="preserve"> me</w:t>
      </w:r>
      <w:r w:rsidR="00B275BA">
        <w:rPr>
          <w:rFonts w:asciiTheme="majorHAnsi" w:hAnsiTheme="majorHAnsi"/>
          <w:sz w:val="22"/>
          <w:szCs w:val="22"/>
        </w:rPr>
        <w:t>t à disposition gratuitement cet outil</w:t>
      </w:r>
      <w:r>
        <w:rPr>
          <w:rFonts w:asciiTheme="majorHAnsi" w:hAnsiTheme="majorHAnsi"/>
          <w:sz w:val="22"/>
          <w:szCs w:val="22"/>
        </w:rPr>
        <w:t xml:space="preserve"> 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CC42A6">
        <w:rPr>
          <w:rFonts w:asciiTheme="majorHAnsi" w:hAnsiTheme="majorHAnsi"/>
          <w:color w:val="auto"/>
          <w:sz w:val="22"/>
          <w:szCs w:val="22"/>
        </w:rPr>
        <w:t>structures souhaitant développer des ateliers d’éducation aux images avec leur public</w:t>
      </w:r>
      <w:r w:rsidRPr="00103B73"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14:paraId="7319FD93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29F97590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Pr="00BD05C6">
        <w:rPr>
          <w:rFonts w:asciiTheme="majorHAnsi" w:hAnsiTheme="majorHAnsi"/>
          <w:sz w:val="22"/>
          <w:szCs w:val="22"/>
        </w:rPr>
        <w:t> :</w:t>
      </w:r>
    </w:p>
    <w:p w14:paraId="621FE3D6" w14:textId="54E16D54" w:rsidR="00CB626E" w:rsidRPr="00BD05C6" w:rsidRDefault="00B275BA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Fujifilm X-T100</w:t>
      </w:r>
      <w:r w:rsidR="00CB626E">
        <w:rPr>
          <w:rFonts w:asciiTheme="majorHAnsi" w:hAnsiTheme="majorHAnsi"/>
          <w:sz w:val="22"/>
          <w:szCs w:val="22"/>
        </w:rPr>
        <w:t>.</w:t>
      </w:r>
    </w:p>
    <w:p w14:paraId="7C74705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="Apple Symbols" w:hAnsi="Apple Symbols" w:cs="Apple Symbols"/>
          <w:sz w:val="22"/>
          <w:szCs w:val="22"/>
        </w:rPr>
        <w:t>cf Annexe 2</w:t>
      </w:r>
    </w:p>
    <w:p w14:paraId="1A07A802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Date(s) de location : </w:t>
      </w:r>
    </w:p>
    <w:p w14:paraId="73DF5C22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l’enlèvement :</w:t>
      </w:r>
    </w:p>
    <w:p w14:paraId="25790E5F" w14:textId="08FFA47A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CB626E">
        <w:rPr>
          <w:rFonts w:asciiTheme="majorHAnsi" w:hAnsiTheme="majorHAnsi"/>
          <w:sz w:val="22"/>
          <w:szCs w:val="22"/>
          <w:highlight w:val="yellow"/>
        </w:rPr>
        <w:t xml:space="preserve">Transport / Date de retour : </w:t>
      </w:r>
    </w:p>
    <w:p w14:paraId="52558B3A" w14:textId="77777777" w:rsidR="009B147F" w:rsidRPr="009B147F" w:rsidRDefault="009B147F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56B2C84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</w:t>
      </w:r>
      <w:r w:rsidR="003A103D">
        <w:rPr>
          <w:rFonts w:asciiTheme="majorHAnsi" w:hAnsiTheme="majorHAnsi"/>
          <w:sz w:val="22"/>
          <w:szCs w:val="22"/>
        </w:rPr>
        <w:t xml:space="preserve">de l’appareil photo hybride </w:t>
      </w:r>
      <w:r>
        <w:rPr>
          <w:rFonts w:asciiTheme="majorHAnsi" w:hAnsiTheme="majorHAnsi"/>
          <w:sz w:val="22"/>
          <w:szCs w:val="22"/>
        </w:rPr>
        <w:t xml:space="preserve">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34CE84F6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233F7A">
        <w:rPr>
          <w:rFonts w:asciiTheme="majorHAnsi" w:hAnsiTheme="majorHAnsi"/>
          <w:sz w:val="22"/>
          <w:szCs w:val="22"/>
        </w:rPr>
        <w:t xml:space="preserve">l’appareil photo </w:t>
      </w:r>
      <w:r w:rsidRPr="004F0346">
        <w:rPr>
          <w:rFonts w:asciiTheme="majorHAnsi" w:hAnsiTheme="majorHAnsi"/>
          <w:sz w:val="22"/>
          <w:szCs w:val="22"/>
        </w:rPr>
        <w:t xml:space="preserve">(dont la valeur est estimée à </w:t>
      </w:r>
      <w:r w:rsidR="00534943">
        <w:rPr>
          <w:rFonts w:asciiTheme="majorHAnsi" w:hAnsiTheme="majorHAnsi"/>
          <w:sz w:val="22"/>
          <w:szCs w:val="22"/>
        </w:rPr>
        <w:t>520</w:t>
      </w:r>
      <w:r w:rsidRPr="0046410F">
        <w:rPr>
          <w:rFonts w:asciiTheme="majorHAnsi" w:hAnsiTheme="majorHAnsi"/>
          <w:sz w:val="22"/>
          <w:szCs w:val="22"/>
        </w:rPr>
        <w:t xml:space="preserve"> euros)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 de la Mallette,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02149CE" w14:textId="77777777" w:rsidR="00534943" w:rsidRDefault="00534943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à </w:t>
      </w:r>
      <w:r>
        <w:rPr>
          <w:rFonts w:asciiTheme="majorHAnsi" w:hAnsiTheme="majorHAnsi"/>
          <w:sz w:val="22"/>
          <w:szCs w:val="22"/>
        </w:rPr>
        <w:t>Strasbourg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Pr="004A5554">
        <w:rPr>
          <w:rFonts w:asciiTheme="majorHAnsi" w:hAnsiTheme="majorHAnsi"/>
          <w:sz w:val="22"/>
          <w:szCs w:val="22"/>
          <w:highlight w:val="yellow"/>
        </w:rPr>
        <w:t>le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E926A9" w14:textId="2CD9D21E" w:rsidR="00CB626E" w:rsidRPr="00BD05C6" w:rsidRDefault="004A5554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Sophie André</w:t>
      </w:r>
      <w:r w:rsidR="00CB626E" w:rsidRPr="00BD05C6">
        <w:rPr>
          <w:rFonts w:asciiTheme="majorHAnsi" w:hAnsiTheme="majorHAnsi"/>
          <w:sz w:val="22"/>
          <w:szCs w:val="22"/>
        </w:rPr>
        <w:t xml:space="preserve">, </w:t>
      </w:r>
      <w:r w:rsidR="00CB626E" w:rsidRPr="00BD05C6">
        <w:rPr>
          <w:rFonts w:asciiTheme="majorHAnsi" w:hAnsiTheme="majorHAnsi"/>
          <w:sz w:val="22"/>
          <w:szCs w:val="22"/>
        </w:rPr>
        <w:tab/>
      </w:r>
    </w:p>
    <w:p w14:paraId="5E7D08F2" w14:textId="3B5E89C9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4A5554">
        <w:rPr>
          <w:rFonts w:asciiTheme="majorHAnsi" w:hAnsiTheme="majorHAnsi"/>
          <w:sz w:val="22"/>
          <w:szCs w:val="22"/>
        </w:rPr>
        <w:t>e</w:t>
      </w:r>
      <w:bookmarkStart w:id="0" w:name="_GoBack"/>
      <w:bookmarkEnd w:id="0"/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3B5C340C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12A05D0F" w14:textId="1FF8A161" w:rsidR="007B3106" w:rsidRPr="00A307E7" w:rsidRDefault="008E3326">
      <w:pPr>
        <w:rPr>
          <w:rFonts w:eastAsia="Times New Roman"/>
        </w:rPr>
      </w:pPr>
      <w:r>
        <w:rPr>
          <w:rFonts w:asciiTheme="majorHAnsi" w:hAnsiTheme="majorHAnsi"/>
          <w:sz w:val="22"/>
          <w:szCs w:val="22"/>
        </w:rPr>
        <w:t>Un appareil photo hybride Fujifilm X-T100</w:t>
      </w:r>
      <w:r w:rsidRPr="00CB626E">
        <w:rPr>
          <w:rFonts w:asciiTheme="majorHAnsi" w:hAnsiTheme="majorHAnsi"/>
          <w:sz w:val="22"/>
          <w:szCs w:val="22"/>
        </w:rPr>
        <w:t xml:space="preserve">, avec </w:t>
      </w:r>
      <w:r>
        <w:rPr>
          <w:rFonts w:asciiTheme="majorHAnsi" w:hAnsiTheme="majorHAnsi"/>
          <w:sz w:val="22"/>
          <w:szCs w:val="22"/>
        </w:rPr>
        <w:t>un objectif 15-35mm</w:t>
      </w:r>
      <w:r w:rsidRPr="00CB626E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batterie, carte SD et sac de transport</w:t>
      </w:r>
    </w:p>
    <w:sectPr w:rsidR="007B3106" w:rsidRPr="00A307E7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534943" w:rsidRDefault="00534943">
      <w:r>
        <w:separator/>
      </w:r>
    </w:p>
  </w:endnote>
  <w:endnote w:type="continuationSeparator" w:id="0">
    <w:p w14:paraId="1AB0E21F" w14:textId="77777777" w:rsidR="00534943" w:rsidRDefault="0053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534943" w:rsidRDefault="00534943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534943" w:rsidRDefault="00534943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534943" w:rsidRPr="00871751" w:rsidRDefault="00534943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4A5554"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534943" w:rsidRDefault="00534943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534943" w:rsidRPr="006F762A" w:rsidRDefault="00534943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4A5554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534943" w:rsidRDefault="00534943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534943" w:rsidRDefault="00534943">
      <w:r>
        <w:separator/>
      </w:r>
    </w:p>
  </w:footnote>
  <w:footnote w:type="continuationSeparator" w:id="0">
    <w:p w14:paraId="6584E32B" w14:textId="77777777" w:rsidR="00534943" w:rsidRDefault="005349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534943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4A5554"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 w:rsidR="004A5554"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534943" w:rsidRPr="00D95542" w:rsidRDefault="00534943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534943" w:rsidRPr="00D95542" w:rsidRDefault="00534943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534943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534943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534943" w:rsidRDefault="00534943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534943" w:rsidRDefault="00534943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534943" w:rsidRDefault="00534943" w:rsidP="00CB626E">
    <w:pPr>
      <w:pStyle w:val="En-tte"/>
      <w:jc w:val="right"/>
    </w:pPr>
  </w:p>
  <w:p w14:paraId="464DFAAA" w14:textId="77777777" w:rsidR="00534943" w:rsidRDefault="00534943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233F7A"/>
    <w:rsid w:val="003A103D"/>
    <w:rsid w:val="004A5554"/>
    <w:rsid w:val="00534943"/>
    <w:rsid w:val="0056187C"/>
    <w:rsid w:val="005C429B"/>
    <w:rsid w:val="007B3106"/>
    <w:rsid w:val="008E3326"/>
    <w:rsid w:val="009B147F"/>
    <w:rsid w:val="00A307E7"/>
    <w:rsid w:val="00B275BA"/>
    <w:rsid w:val="00CB626E"/>
    <w:rsid w:val="00E20C06"/>
    <w:rsid w:val="00F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5094</Characters>
  <Application>Microsoft Macintosh Word</Application>
  <DocSecurity>0</DocSecurity>
  <Lines>42</Lines>
  <Paragraphs>12</Paragraphs>
  <ScaleCrop>false</ScaleCrop>
  <Company>Alsace Cinémas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2</cp:revision>
  <cp:lastPrinted>2020-07-01T13:41:00Z</cp:lastPrinted>
  <dcterms:created xsi:type="dcterms:W3CDTF">2023-07-06T09:38:00Z</dcterms:created>
  <dcterms:modified xsi:type="dcterms:W3CDTF">2023-07-06T09:38:00Z</dcterms:modified>
</cp:coreProperties>
</file>