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1FA2BCD0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1C38F3">
        <w:rPr>
          <w:rFonts w:asciiTheme="majorHAnsi" w:hAnsiTheme="majorHAnsi"/>
          <w:b/>
        </w:rPr>
        <w:t xml:space="preserve">DU JEU </w:t>
      </w:r>
      <w:r w:rsidR="00C2332A">
        <w:rPr>
          <w:rFonts w:asciiTheme="majorHAnsi" w:hAnsiTheme="majorHAnsi"/>
          <w:b/>
          <w:i/>
        </w:rPr>
        <w:t>SORTIE DE CINEMA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540A2C59" w:rsidR="00CB626E" w:rsidRPr="00BD05C6" w:rsidRDefault="002F5AB6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CB626E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 w:rsidR="00693683">
        <w:rPr>
          <w:rFonts w:asciiTheme="majorHAnsi" w:hAnsiTheme="majorHAnsi"/>
          <w:sz w:val="22"/>
          <w:szCs w:val="22"/>
        </w:rPr>
        <w:t>Laura Cassarino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5F78C0F3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 xml:space="preserve">du </w:t>
      </w:r>
      <w:r w:rsidR="006812AA">
        <w:rPr>
          <w:rFonts w:asciiTheme="majorHAnsi" w:hAnsiTheme="majorHAnsi"/>
          <w:sz w:val="22"/>
          <w:szCs w:val="22"/>
        </w:rPr>
        <w:t xml:space="preserve">jeu </w:t>
      </w:r>
      <w:r w:rsidR="00C2332A">
        <w:rPr>
          <w:rFonts w:asciiTheme="majorHAnsi" w:hAnsiTheme="majorHAnsi"/>
          <w:i/>
          <w:sz w:val="22"/>
          <w:szCs w:val="22"/>
        </w:rPr>
        <w:t>SORTIE DE CINEMA</w:t>
      </w:r>
      <w:r w:rsidR="007D586E">
        <w:rPr>
          <w:rFonts w:asciiTheme="majorHAnsi" w:hAnsiTheme="majorHAnsi"/>
          <w:sz w:val="22"/>
          <w:szCs w:val="22"/>
        </w:rPr>
        <w:t xml:space="preserve">.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D064FA">
        <w:rPr>
          <w:rFonts w:asciiTheme="majorHAnsi" w:hAnsiTheme="majorHAnsi"/>
          <w:sz w:val="22"/>
          <w:szCs w:val="22"/>
        </w:rPr>
        <w:t xml:space="preserve"> est créé par </w:t>
      </w:r>
      <w:r w:rsidR="00881D42">
        <w:rPr>
          <w:rFonts w:asciiTheme="majorHAnsi" w:hAnsiTheme="majorHAnsi"/>
          <w:sz w:val="22"/>
          <w:szCs w:val="22"/>
        </w:rPr>
        <w:t xml:space="preserve">le festival </w:t>
      </w:r>
      <w:r w:rsidR="00881D42" w:rsidRPr="00D064FA">
        <w:rPr>
          <w:rFonts w:asciiTheme="majorHAnsi" w:hAnsiTheme="majorHAnsi"/>
          <w:i/>
          <w:sz w:val="22"/>
          <w:szCs w:val="22"/>
        </w:rPr>
        <w:t>Premiers Plans</w:t>
      </w:r>
      <w:r w:rsidR="00C2332A">
        <w:rPr>
          <w:rFonts w:asciiTheme="majorHAnsi" w:hAnsiTheme="majorHAnsi"/>
          <w:sz w:val="22"/>
          <w:szCs w:val="22"/>
        </w:rPr>
        <w:t xml:space="preserve"> </w:t>
      </w:r>
      <w:r w:rsidR="00881D42">
        <w:rPr>
          <w:rFonts w:asciiTheme="majorHAnsi" w:hAnsiTheme="majorHAnsi"/>
          <w:sz w:val="22"/>
          <w:szCs w:val="22"/>
        </w:rPr>
        <w:t>d’Angers.</w:t>
      </w:r>
      <w:r w:rsidR="00C2332A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>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631D26">
        <w:rPr>
          <w:rFonts w:asciiTheme="majorHAnsi" w:hAnsiTheme="majorHAnsi"/>
          <w:sz w:val="22"/>
          <w:szCs w:val="22"/>
        </w:rPr>
        <w:t>structures souhaitant développer des ateliers d’éducation aux images avec leur public</w:t>
      </w:r>
      <w:r w:rsidR="00987F24">
        <w:rPr>
          <w:rFonts w:asciiTheme="majorHAnsi" w:hAnsiTheme="majorHAnsi"/>
          <w:sz w:val="22"/>
          <w:szCs w:val="22"/>
        </w:rPr>
        <w:t xml:space="preserve"> et accompagner des séances de cinéma</w:t>
      </w:r>
      <w:r w:rsidRPr="00631D26">
        <w:rPr>
          <w:rFonts w:asciiTheme="majorHAnsi" w:hAnsiTheme="majorHAnsi"/>
          <w:sz w:val="22"/>
          <w:szCs w:val="22"/>
        </w:rPr>
        <w:t xml:space="preserve">.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E15DB4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18094F">
        <w:rPr>
          <w:rFonts w:asciiTheme="majorHAnsi" w:hAnsiTheme="majorHAnsi"/>
          <w:sz w:val="22"/>
          <w:szCs w:val="22"/>
        </w:rPr>
        <w:t xml:space="preserve">20 </w:t>
      </w:r>
      <w:r w:rsidRPr="0046410F">
        <w:rPr>
          <w:rFonts w:asciiTheme="majorHAnsi" w:hAnsiTheme="majorHAnsi"/>
          <w:sz w:val="22"/>
          <w:szCs w:val="22"/>
        </w:rPr>
        <w:t>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Pr="002F5AB6">
        <w:rPr>
          <w:rFonts w:asciiTheme="majorHAnsi" w:hAnsiTheme="majorHAnsi"/>
          <w:sz w:val="22"/>
          <w:szCs w:val="22"/>
          <w:highlight w:val="yellow"/>
        </w:rPr>
        <w:t>le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2A09DBD4" w:rsidR="00CB626E" w:rsidRPr="00BD05C6" w:rsidRDefault="00693683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Laura Cassarino</w:t>
      </w:r>
      <w:bookmarkStart w:id="0" w:name="_GoBack"/>
      <w:bookmarkEnd w:id="0"/>
      <w:r w:rsidR="00CB626E" w:rsidRPr="00BD05C6">
        <w:rPr>
          <w:rFonts w:asciiTheme="majorHAnsi" w:hAnsiTheme="majorHAnsi"/>
          <w:sz w:val="22"/>
          <w:szCs w:val="22"/>
        </w:rPr>
        <w:t xml:space="preserve">,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17C39F93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2F5AB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7D6F623C" w:rsidR="007B3106" w:rsidRPr="00A307E7" w:rsidRDefault="0091586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1E0606">
        <w:rPr>
          <w:rFonts w:eastAsia="Times New Roman"/>
        </w:rPr>
        <w:t>1 boîte</w:t>
      </w:r>
      <w:r>
        <w:rPr>
          <w:rFonts w:eastAsia="Times New Roman"/>
        </w:rPr>
        <w:br/>
        <w:t xml:space="preserve">- </w:t>
      </w:r>
      <w:r w:rsidR="0062729F">
        <w:rPr>
          <w:rFonts w:eastAsia="Times New Roman"/>
        </w:rPr>
        <w:t>52 cartes (dont 2 cartes de règles du jeu)</w:t>
      </w:r>
      <w:r>
        <w:rPr>
          <w:rFonts w:eastAsia="Times New Roman"/>
        </w:rPr>
        <w:br/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987F24" w:rsidRDefault="00987F24">
      <w:r>
        <w:separator/>
      </w:r>
    </w:p>
  </w:endnote>
  <w:endnote w:type="continuationSeparator" w:id="0">
    <w:p w14:paraId="1AB0E21F" w14:textId="77777777" w:rsidR="00987F24" w:rsidRDefault="0098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987F24" w:rsidRDefault="00987F24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987F24" w:rsidRDefault="00987F24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987F24" w:rsidRPr="00871751" w:rsidRDefault="00987F24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693683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987F24" w:rsidRDefault="00987F24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987F24" w:rsidRPr="006F762A" w:rsidRDefault="00987F24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693683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987F24" w:rsidRDefault="00987F24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987F24" w:rsidRDefault="00987F24">
      <w:r>
        <w:separator/>
      </w:r>
    </w:p>
  </w:footnote>
  <w:footnote w:type="continuationSeparator" w:id="0">
    <w:p w14:paraId="6584E32B" w14:textId="77777777" w:rsidR="00987F24" w:rsidRDefault="00987F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987F24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693683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693683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987F24" w:rsidRPr="00D95542" w:rsidRDefault="00987F24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987F24" w:rsidRPr="00D95542" w:rsidRDefault="00987F24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987F24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987F24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987F24" w:rsidRDefault="00987F24" w:rsidP="00CB626E">
    <w:pPr>
      <w:pStyle w:val="En-tte"/>
      <w:jc w:val="right"/>
    </w:pPr>
  </w:p>
  <w:p w14:paraId="464DFAAA" w14:textId="77777777" w:rsidR="00987F24" w:rsidRDefault="00987F24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37B46"/>
    <w:rsid w:val="0018094F"/>
    <w:rsid w:val="001C38F3"/>
    <w:rsid w:val="001E0606"/>
    <w:rsid w:val="001F2D9E"/>
    <w:rsid w:val="00256163"/>
    <w:rsid w:val="002F5AB6"/>
    <w:rsid w:val="00321335"/>
    <w:rsid w:val="00363672"/>
    <w:rsid w:val="0056187C"/>
    <w:rsid w:val="0057315C"/>
    <w:rsid w:val="005C429B"/>
    <w:rsid w:val="005E4F24"/>
    <w:rsid w:val="0062729F"/>
    <w:rsid w:val="00631D26"/>
    <w:rsid w:val="006812AA"/>
    <w:rsid w:val="00693683"/>
    <w:rsid w:val="007B3106"/>
    <w:rsid w:val="007D586E"/>
    <w:rsid w:val="00814B05"/>
    <w:rsid w:val="00881D42"/>
    <w:rsid w:val="008E2B52"/>
    <w:rsid w:val="00915863"/>
    <w:rsid w:val="0096195A"/>
    <w:rsid w:val="009814B9"/>
    <w:rsid w:val="00987F24"/>
    <w:rsid w:val="00A307E7"/>
    <w:rsid w:val="00AC1BDE"/>
    <w:rsid w:val="00B45234"/>
    <w:rsid w:val="00BD0949"/>
    <w:rsid w:val="00BD75B8"/>
    <w:rsid w:val="00C2332A"/>
    <w:rsid w:val="00CB626E"/>
    <w:rsid w:val="00D064FA"/>
    <w:rsid w:val="00D8064E"/>
    <w:rsid w:val="00E0132F"/>
    <w:rsid w:val="00E20AAC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905</Words>
  <Characters>4980</Characters>
  <Application>Microsoft Macintosh Word</Application>
  <DocSecurity>0</DocSecurity>
  <Lines>41</Lines>
  <Paragraphs>11</Paragraphs>
  <ScaleCrop>false</ScaleCrop>
  <Company>Alsace Cinémas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7</cp:revision>
  <cp:lastPrinted>2021-07-22T07:54:00Z</cp:lastPrinted>
  <dcterms:created xsi:type="dcterms:W3CDTF">2022-08-23T10:51:00Z</dcterms:created>
  <dcterms:modified xsi:type="dcterms:W3CDTF">2024-06-18T15:18:00Z</dcterms:modified>
</cp:coreProperties>
</file>