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66158048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="00E328AF">
        <w:rPr>
          <w:rFonts w:asciiTheme="majorHAnsi" w:hAnsiTheme="majorHAnsi"/>
          <w:b/>
        </w:rPr>
        <w:t xml:space="preserve">DE </w:t>
      </w:r>
      <w:r w:rsidR="00E328AF" w:rsidRPr="00E67DF0">
        <w:rPr>
          <w:rFonts w:asciiTheme="majorHAnsi" w:hAnsiTheme="majorHAnsi"/>
          <w:b/>
          <w:i/>
        </w:rPr>
        <w:t>L’ESCAPE GAME</w:t>
      </w:r>
      <w:r w:rsidR="00E328AF">
        <w:rPr>
          <w:rFonts w:asciiTheme="majorHAnsi" w:hAnsiTheme="majorHAnsi"/>
          <w:b/>
        </w:rPr>
        <w:t> : le film dont vous êtes le projectionniste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182E9571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Représentée par s</w:t>
      </w:r>
      <w:r w:rsidR="0020532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Président</w:t>
      </w:r>
      <w:r w:rsidR="0020532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>, M</w:t>
      </w:r>
      <w:r w:rsidR="00205326">
        <w:rPr>
          <w:rFonts w:asciiTheme="majorHAnsi" w:hAnsiTheme="majorHAnsi"/>
          <w:sz w:val="22"/>
          <w:szCs w:val="22"/>
        </w:rPr>
        <w:t>adame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205326">
        <w:rPr>
          <w:rFonts w:asciiTheme="majorHAnsi" w:hAnsiTheme="majorHAnsi"/>
          <w:sz w:val="22"/>
          <w:szCs w:val="22"/>
        </w:rPr>
        <w:t>Laura Cassarino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F58737B" w14:textId="77777777" w:rsidR="00D8064E" w:rsidRDefault="00D8064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71A76ADE" w:rsidR="00CB626E" w:rsidRPr="00631D26" w:rsidRDefault="00CB626E" w:rsidP="009619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96195A">
        <w:rPr>
          <w:rFonts w:asciiTheme="majorHAnsi" w:hAnsiTheme="majorHAnsi"/>
          <w:sz w:val="22"/>
          <w:szCs w:val="22"/>
        </w:rPr>
        <w:t>d</w:t>
      </w:r>
      <w:r w:rsidR="002076EC">
        <w:rPr>
          <w:rFonts w:asciiTheme="majorHAnsi" w:hAnsiTheme="majorHAnsi"/>
          <w:sz w:val="22"/>
          <w:szCs w:val="22"/>
        </w:rPr>
        <w:t>e l’</w:t>
      </w:r>
      <w:r w:rsidR="002076EC" w:rsidRPr="002076EC">
        <w:rPr>
          <w:rFonts w:asciiTheme="majorHAnsi" w:hAnsiTheme="majorHAnsi"/>
          <w:i/>
          <w:sz w:val="22"/>
          <w:szCs w:val="22"/>
        </w:rPr>
        <w:t xml:space="preserve">escape game </w:t>
      </w:r>
      <w:r w:rsidR="00E67DF0">
        <w:rPr>
          <w:rFonts w:asciiTheme="majorHAnsi" w:hAnsiTheme="majorHAnsi"/>
          <w:i/>
          <w:sz w:val="22"/>
          <w:szCs w:val="22"/>
        </w:rPr>
        <w:t>« </w:t>
      </w:r>
      <w:r w:rsidR="002076EC">
        <w:rPr>
          <w:rFonts w:asciiTheme="majorHAnsi" w:hAnsiTheme="majorHAnsi"/>
          <w:i/>
          <w:sz w:val="22"/>
          <w:szCs w:val="22"/>
        </w:rPr>
        <w:t>Le film dont vous êtes le projectionniste</w:t>
      </w:r>
      <w:r w:rsidR="00E67DF0">
        <w:rPr>
          <w:rFonts w:asciiTheme="majorHAnsi" w:hAnsiTheme="majorHAnsi"/>
          <w:i/>
          <w:sz w:val="22"/>
          <w:szCs w:val="22"/>
        </w:rPr>
        <w:t> »</w:t>
      </w:r>
      <w:r w:rsidR="00A7122D">
        <w:rPr>
          <w:rFonts w:asciiTheme="majorHAnsi" w:hAnsiTheme="majorHAnsi"/>
          <w:sz w:val="22"/>
          <w:szCs w:val="22"/>
        </w:rPr>
        <w:t>,</w:t>
      </w:r>
      <w:r w:rsidR="003D0A00">
        <w:rPr>
          <w:rFonts w:asciiTheme="majorHAnsi" w:hAnsiTheme="majorHAnsi"/>
          <w:sz w:val="22"/>
          <w:szCs w:val="22"/>
        </w:rPr>
        <w:t xml:space="preserve"> </w:t>
      </w:r>
      <w:r w:rsidR="005C40BB">
        <w:rPr>
          <w:rFonts w:asciiTheme="majorHAnsi" w:hAnsiTheme="majorHAnsi"/>
          <w:sz w:val="22"/>
          <w:szCs w:val="22"/>
        </w:rPr>
        <w:t>se présentant comme une boîte</w:t>
      </w:r>
      <w:r w:rsidR="003D0A00">
        <w:rPr>
          <w:rFonts w:asciiTheme="majorHAnsi" w:hAnsiTheme="majorHAnsi"/>
          <w:sz w:val="22"/>
          <w:szCs w:val="22"/>
        </w:rPr>
        <w:t xml:space="preserve"> facilement transportable.</w:t>
      </w:r>
      <w:r w:rsidR="007D586E">
        <w:rPr>
          <w:rFonts w:asciiTheme="majorHAnsi" w:hAnsiTheme="majorHAnsi"/>
          <w:sz w:val="22"/>
          <w:szCs w:val="22"/>
        </w:rPr>
        <w:t xml:space="preserve"> </w:t>
      </w:r>
      <w:r w:rsidR="00631D26" w:rsidRPr="00631D26">
        <w:rPr>
          <w:rFonts w:asciiTheme="majorHAnsi" w:hAnsiTheme="majorHAnsi"/>
          <w:sz w:val="22"/>
          <w:szCs w:val="22"/>
        </w:rPr>
        <w:t xml:space="preserve">Ce </w:t>
      </w:r>
      <w:r w:rsidR="0096195A">
        <w:rPr>
          <w:rFonts w:asciiTheme="majorHAnsi" w:hAnsiTheme="majorHAnsi"/>
          <w:sz w:val="22"/>
          <w:szCs w:val="22"/>
        </w:rPr>
        <w:t>dernier</w:t>
      </w:r>
      <w:r w:rsidR="00631D26" w:rsidRPr="00631D26">
        <w:rPr>
          <w:rFonts w:asciiTheme="majorHAnsi" w:hAnsiTheme="majorHAnsi"/>
          <w:sz w:val="22"/>
          <w:szCs w:val="22"/>
        </w:rPr>
        <w:t xml:space="preserve"> est créé par l</w:t>
      </w:r>
      <w:r w:rsidR="00E67DF0">
        <w:rPr>
          <w:rFonts w:asciiTheme="majorHAnsi" w:hAnsiTheme="majorHAnsi"/>
          <w:sz w:val="22"/>
          <w:szCs w:val="22"/>
        </w:rPr>
        <w:t>a société Habile Bill</w:t>
      </w:r>
      <w:r w:rsidR="003D0A00">
        <w:rPr>
          <w:rFonts w:asciiTheme="majorHAnsi" w:hAnsiTheme="majorHAnsi"/>
          <w:sz w:val="22"/>
          <w:szCs w:val="22"/>
        </w:rPr>
        <w:t xml:space="preserve"> basée à Strasbourg.</w:t>
      </w:r>
      <w:r w:rsidR="00E67DF0">
        <w:rPr>
          <w:rFonts w:asciiTheme="majorHAnsi" w:hAnsiTheme="majorHAnsi"/>
          <w:sz w:val="22"/>
          <w:szCs w:val="22"/>
        </w:rPr>
        <w:t xml:space="preserve"> </w:t>
      </w:r>
      <w:r w:rsidRPr="00CB626E">
        <w:rPr>
          <w:rFonts w:asciiTheme="majorHAnsi" w:hAnsiTheme="majorHAnsi"/>
          <w:sz w:val="22"/>
          <w:szCs w:val="22"/>
        </w:rPr>
        <w:t>Le RECIT</w:t>
      </w:r>
      <w:r>
        <w:rPr>
          <w:rFonts w:asciiTheme="majorHAnsi" w:hAnsiTheme="majorHAnsi"/>
          <w:sz w:val="22"/>
          <w:szCs w:val="22"/>
        </w:rPr>
        <w:t xml:space="preserve"> </w:t>
      </w:r>
      <w:r w:rsidR="007D586E">
        <w:rPr>
          <w:rFonts w:asciiTheme="majorHAnsi" w:hAnsiTheme="majorHAnsi"/>
          <w:sz w:val="22"/>
          <w:szCs w:val="22"/>
        </w:rPr>
        <w:t xml:space="preserve">le </w:t>
      </w:r>
      <w:r>
        <w:rPr>
          <w:rFonts w:asciiTheme="majorHAnsi" w:hAnsiTheme="majorHAnsi"/>
          <w:sz w:val="22"/>
          <w:szCs w:val="22"/>
        </w:rPr>
        <w:t>me</w:t>
      </w:r>
      <w:r w:rsidR="006812AA">
        <w:rPr>
          <w:rFonts w:asciiTheme="majorHAnsi" w:hAnsiTheme="majorHAnsi"/>
          <w:sz w:val="22"/>
          <w:szCs w:val="22"/>
        </w:rPr>
        <w:t xml:space="preserve">t à disposition gratuitement </w:t>
      </w:r>
      <w:r>
        <w:rPr>
          <w:rFonts w:asciiTheme="majorHAnsi" w:hAnsiTheme="majorHAnsi"/>
          <w:sz w:val="22"/>
          <w:szCs w:val="22"/>
        </w:rPr>
        <w:t xml:space="preserve">pour un emprunt </w:t>
      </w:r>
      <w:r w:rsidR="00A7122D">
        <w:rPr>
          <w:rFonts w:asciiTheme="majorHAnsi" w:hAnsiTheme="majorHAnsi"/>
          <w:sz w:val="22"/>
          <w:szCs w:val="22"/>
        </w:rPr>
        <w:t xml:space="preserve">pour toutes les salles de cinéma </w:t>
      </w:r>
      <w:r w:rsidR="003743DE">
        <w:rPr>
          <w:rFonts w:asciiTheme="majorHAnsi" w:hAnsiTheme="majorHAnsi"/>
          <w:sz w:val="22"/>
          <w:szCs w:val="22"/>
        </w:rPr>
        <w:t>du</w:t>
      </w:r>
      <w:r>
        <w:rPr>
          <w:rFonts w:asciiTheme="majorHAnsi" w:hAnsiTheme="majorHAnsi"/>
          <w:sz w:val="22"/>
          <w:szCs w:val="22"/>
        </w:rPr>
        <w:t xml:space="preserve"> territoire alsacien</w:t>
      </w:r>
      <w:r w:rsidRPr="00631D26">
        <w:rPr>
          <w:rFonts w:asciiTheme="majorHAnsi" w:hAnsiTheme="majorHAnsi"/>
          <w:sz w:val="22"/>
          <w:szCs w:val="22"/>
        </w:rPr>
        <w:t xml:space="preserve">. </w:t>
      </w:r>
      <w:r w:rsidR="00A7122D">
        <w:rPr>
          <w:rFonts w:asciiTheme="majorHAnsi" w:hAnsiTheme="majorHAnsi"/>
          <w:sz w:val="22"/>
          <w:szCs w:val="22"/>
        </w:rPr>
        <w:t xml:space="preserve"> </w:t>
      </w:r>
    </w:p>
    <w:p w14:paraId="7319FD93" w14:textId="77777777" w:rsidR="00CB626E" w:rsidRDefault="00CB626E" w:rsidP="00631D26">
      <w:pPr>
        <w:pStyle w:val="Formatlibre"/>
        <w:spacing w:after="120"/>
        <w:ind w:right="290"/>
        <w:contextualSpacing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1A07A802" w14:textId="7EAA1CF9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="006812AA">
        <w:rPr>
          <w:rFonts w:asciiTheme="majorHAnsi" w:hAnsiTheme="majorHAnsi"/>
          <w:sz w:val="22"/>
          <w:szCs w:val="22"/>
        </w:rPr>
        <w:t>.</w:t>
      </w:r>
    </w:p>
    <w:p w14:paraId="695F0E07" w14:textId="77777777" w:rsidR="006812AA" w:rsidRPr="006812AA" w:rsidRDefault="006812A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55DB3EEE" w14:textId="77777777" w:rsidR="00814B05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464807E7" w:rsidR="00CB626E" w:rsidRPr="0094245E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>
        <w:rPr>
          <w:rFonts w:asciiTheme="majorHAnsi" w:hAnsiTheme="majorHAnsi"/>
          <w:sz w:val="22"/>
          <w:szCs w:val="22"/>
          <w:highlight w:val="yellow"/>
        </w:rPr>
        <w:t xml:space="preserve">Date(s) et horaires de retrait et retour du matériel </w:t>
      </w:r>
      <w:r w:rsidR="00CB626E" w:rsidRPr="0094245E">
        <w:rPr>
          <w:rFonts w:asciiTheme="majorHAnsi" w:hAnsiTheme="majorHAnsi"/>
          <w:sz w:val="22"/>
          <w:szCs w:val="22"/>
          <w:highlight w:val="yellow"/>
        </w:rPr>
        <w:t xml:space="preserve">: </w:t>
      </w:r>
    </w:p>
    <w:p w14:paraId="25790E5F" w14:textId="4325B04B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lastRenderedPageBreak/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0CD7CB1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</w:t>
      </w:r>
      <w:r w:rsidR="00AA15D2">
        <w:rPr>
          <w:rFonts w:asciiTheme="majorHAnsi" w:hAnsiTheme="majorHAnsi"/>
          <w:sz w:val="22"/>
          <w:szCs w:val="22"/>
        </w:rPr>
        <w:t>de la malle</w:t>
      </w:r>
      <w:r>
        <w:rPr>
          <w:rFonts w:asciiTheme="majorHAnsi" w:hAnsiTheme="majorHAnsi"/>
          <w:sz w:val="22"/>
          <w:szCs w:val="22"/>
        </w:rPr>
        <w:t xml:space="preserve">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6989595E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ED68D0">
        <w:rPr>
          <w:rFonts w:asciiTheme="majorHAnsi" w:hAnsiTheme="majorHAnsi"/>
          <w:sz w:val="22"/>
          <w:szCs w:val="22"/>
        </w:rPr>
        <w:t>l’outil</w:t>
      </w:r>
      <w:r w:rsidR="001F2D9E">
        <w:rPr>
          <w:rFonts w:asciiTheme="majorHAnsi" w:hAnsiTheme="majorHAnsi"/>
          <w:sz w:val="22"/>
          <w:szCs w:val="22"/>
        </w:rPr>
        <w:t xml:space="preserve"> </w:t>
      </w:r>
      <w:r w:rsidRPr="004F0346">
        <w:rPr>
          <w:rFonts w:asciiTheme="majorHAnsi" w:hAnsiTheme="majorHAnsi"/>
          <w:sz w:val="22"/>
          <w:szCs w:val="22"/>
        </w:rPr>
        <w:t xml:space="preserve">dont la valeur est estimée à </w:t>
      </w:r>
      <w:r w:rsidR="00BB44DE">
        <w:rPr>
          <w:rFonts w:asciiTheme="majorHAnsi" w:hAnsiTheme="majorHAnsi"/>
          <w:sz w:val="22"/>
          <w:szCs w:val="22"/>
        </w:rPr>
        <w:t>900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E27C420" w14:textId="77777777" w:rsidR="00205326" w:rsidRDefault="00205326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</w:t>
      </w:r>
      <w:r w:rsidRPr="0057315C">
        <w:rPr>
          <w:rFonts w:asciiTheme="majorHAnsi" w:hAnsiTheme="majorHAnsi"/>
          <w:sz w:val="22"/>
          <w:szCs w:val="22"/>
        </w:rPr>
        <w:t>à Strasbourg,</w:t>
      </w:r>
      <w:r w:rsidRPr="00BD05C6">
        <w:rPr>
          <w:rFonts w:asciiTheme="majorHAnsi" w:hAnsiTheme="majorHAnsi"/>
          <w:sz w:val="22"/>
          <w:szCs w:val="22"/>
        </w:rPr>
        <w:t xml:space="preserve"> le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05540C00" w:rsidR="00CB626E" w:rsidRPr="00BD05C6" w:rsidRDefault="00205326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Laura Cassarino</w:t>
      </w:r>
      <w:r w:rsidR="00CB626E" w:rsidRPr="00BD05C6">
        <w:rPr>
          <w:rFonts w:asciiTheme="majorHAnsi" w:hAnsiTheme="majorHAnsi"/>
          <w:sz w:val="22"/>
          <w:szCs w:val="22"/>
        </w:rPr>
        <w:t xml:space="preserve"> </w:t>
      </w:r>
      <w:r w:rsidR="00CB626E" w:rsidRPr="00BD05C6">
        <w:rPr>
          <w:rFonts w:asciiTheme="majorHAnsi" w:hAnsiTheme="majorHAnsi"/>
          <w:sz w:val="22"/>
          <w:szCs w:val="22"/>
        </w:rPr>
        <w:tab/>
      </w:r>
    </w:p>
    <w:p w14:paraId="5E7D08F2" w14:textId="045D06DD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20532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F97906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48AD4F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D181D7B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12FE228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1503F6A5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5419D0D0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7D6C903A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0E7FD2B2" w:rsidR="00CB626E" w:rsidRDefault="00400616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Inventaire</w:t>
      </w:r>
      <w:r w:rsidR="00CB626E">
        <w:rPr>
          <w:rFonts w:asciiTheme="majorHAnsi" w:hAnsiTheme="majorHAnsi"/>
        </w:rPr>
        <w:t xml:space="preserve"> </w:t>
      </w:r>
      <w:r w:rsidR="001A5B7B">
        <w:rPr>
          <w:rFonts w:asciiTheme="majorHAnsi" w:hAnsiTheme="majorHAnsi"/>
        </w:rPr>
        <w:t>de la malle</w:t>
      </w:r>
    </w:p>
    <w:p w14:paraId="4F52E3C4" w14:textId="77777777" w:rsidR="00D8064E" w:rsidRDefault="00D8064E" w:rsidP="00CB626E">
      <w:pPr>
        <w:jc w:val="center"/>
        <w:rPr>
          <w:rFonts w:asciiTheme="majorHAnsi" w:hAnsiTheme="majorHAnsi"/>
        </w:rPr>
      </w:pPr>
    </w:p>
    <w:p w14:paraId="39F8A4E1" w14:textId="77777777" w:rsidR="00D8064E" w:rsidRPr="00596D99" w:rsidRDefault="00D8064E" w:rsidP="00CB626E">
      <w:pPr>
        <w:jc w:val="center"/>
        <w:rPr>
          <w:rFonts w:asciiTheme="majorHAnsi" w:hAnsiTheme="majorHAnsi"/>
        </w:rPr>
      </w:pP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5E26447A" w14:textId="069E8720" w:rsidR="002F366A" w:rsidRPr="00400616" w:rsidRDefault="00400616" w:rsidP="00400616">
      <w:pPr>
        <w:rPr>
          <w:rFonts w:eastAsia="Times New Roman"/>
        </w:rPr>
      </w:pPr>
      <w:r w:rsidRPr="00400616">
        <w:rPr>
          <w:rFonts w:ascii="ＭＳ ゴシック" w:eastAsia="ＭＳ ゴシック" w:hAnsi="ＭＳ ゴシック" w:hint="eastAsia"/>
          <w:sz w:val="22"/>
          <w:szCs w:val="22"/>
        </w:rPr>
        <w:t>☐</w:t>
      </w:r>
      <w:r w:rsidRPr="00400616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A62F13" w:rsidRPr="00400616">
        <w:rPr>
          <w:rFonts w:eastAsia="Times New Roman"/>
        </w:rPr>
        <w:t>Fiches d’accompagnement pour la préparation et déroulé du jeu</w:t>
      </w:r>
    </w:p>
    <w:p w14:paraId="71E5A510" w14:textId="642F1B12" w:rsidR="00834EED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AB7313" w:rsidRPr="00400616">
        <w:rPr>
          <w:rFonts w:eastAsia="Times New Roman"/>
        </w:rPr>
        <w:t>1 veste</w:t>
      </w:r>
    </w:p>
    <w:p w14:paraId="16D9BF9B" w14:textId="0FCC46B1" w:rsidR="002F366A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2F366A" w:rsidRPr="00400616">
        <w:rPr>
          <w:rFonts w:eastAsia="Times New Roman"/>
        </w:rPr>
        <w:t>1 boîte</w:t>
      </w:r>
    </w:p>
    <w:p w14:paraId="028F1856" w14:textId="63C78874" w:rsidR="00005019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005019" w:rsidRPr="00400616">
        <w:rPr>
          <w:rFonts w:eastAsia="Times New Roman"/>
        </w:rPr>
        <w:t>1</w:t>
      </w:r>
      <w:r w:rsidR="00CF5EAD" w:rsidRPr="00400616">
        <w:rPr>
          <w:rFonts w:eastAsia="Times New Roman"/>
        </w:rPr>
        <w:t xml:space="preserve"> paire de lunette 3D</w:t>
      </w:r>
    </w:p>
    <w:p w14:paraId="5BB18F20" w14:textId="44E253B6" w:rsidR="00005019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005019" w:rsidRPr="00400616">
        <w:rPr>
          <w:rFonts w:eastAsia="Times New Roman"/>
        </w:rPr>
        <w:t>2 cornet</w:t>
      </w:r>
      <w:r w:rsidR="00AB7313" w:rsidRPr="00400616">
        <w:rPr>
          <w:rFonts w:eastAsia="Times New Roman"/>
        </w:rPr>
        <w:t>s</w:t>
      </w:r>
      <w:r w:rsidR="00005019" w:rsidRPr="00400616">
        <w:rPr>
          <w:rFonts w:eastAsia="Times New Roman"/>
        </w:rPr>
        <w:t xml:space="preserve"> de pop corn</w:t>
      </w:r>
    </w:p>
    <w:p w14:paraId="5560BAA2" w14:textId="78086095" w:rsidR="00005019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005019" w:rsidRPr="00400616">
        <w:rPr>
          <w:rFonts w:eastAsia="Times New Roman"/>
        </w:rPr>
        <w:t>6 gobelets</w:t>
      </w:r>
    </w:p>
    <w:p w14:paraId="3534849E" w14:textId="52E7F12D" w:rsidR="00005019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005019" w:rsidRPr="00400616">
        <w:rPr>
          <w:rFonts w:eastAsia="Times New Roman"/>
        </w:rPr>
        <w:t>2 bouées</w:t>
      </w:r>
    </w:p>
    <w:p w14:paraId="095485F7" w14:textId="526D1F80" w:rsidR="00743196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B35896" w:rsidRPr="00400616">
        <w:rPr>
          <w:rFonts w:eastAsia="Times New Roman"/>
        </w:rPr>
        <w:t>4</w:t>
      </w:r>
      <w:r w:rsidR="00005019" w:rsidRPr="00400616">
        <w:rPr>
          <w:rFonts w:eastAsia="Times New Roman"/>
        </w:rPr>
        <w:t xml:space="preserve"> colliers</w:t>
      </w:r>
    </w:p>
    <w:p w14:paraId="52A20200" w14:textId="710403AD" w:rsidR="00743196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43196" w:rsidRPr="00400616">
        <w:rPr>
          <w:rFonts w:eastAsia="Times New Roman"/>
        </w:rPr>
        <w:t xml:space="preserve">1 </w:t>
      </w:r>
      <w:r w:rsidR="00CD643C" w:rsidRPr="00400616">
        <w:rPr>
          <w:rFonts w:eastAsia="Times New Roman"/>
        </w:rPr>
        <w:t>« </w:t>
      </w:r>
      <w:r w:rsidR="00743196" w:rsidRPr="00400616">
        <w:rPr>
          <w:rFonts w:eastAsia="Times New Roman"/>
        </w:rPr>
        <w:t>mémo pour la clé de secours</w:t>
      </w:r>
      <w:r w:rsidR="00CD643C" w:rsidRPr="00400616">
        <w:rPr>
          <w:rFonts w:eastAsia="Times New Roman"/>
        </w:rPr>
        <w:t> »</w:t>
      </w:r>
    </w:p>
    <w:p w14:paraId="2277E0BB" w14:textId="73759D8A" w:rsidR="00306D8E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B2438A" w:rsidRPr="00400616">
        <w:rPr>
          <w:rFonts w:eastAsia="Times New Roman"/>
        </w:rPr>
        <w:t>3</w:t>
      </w:r>
      <w:r w:rsidR="00306D8E" w:rsidRPr="00400616">
        <w:rPr>
          <w:rFonts w:eastAsia="Times New Roman"/>
        </w:rPr>
        <w:t xml:space="preserve"> cadenas</w:t>
      </w:r>
    </w:p>
    <w:p w14:paraId="4FDACCE7" w14:textId="101AB69C" w:rsidR="00743196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43196" w:rsidRPr="00400616">
        <w:rPr>
          <w:rFonts w:eastAsia="Times New Roman"/>
        </w:rPr>
        <w:t>1 chaîne munie d’un cadenas à clés</w:t>
      </w:r>
      <w:r w:rsidR="00E72263" w:rsidRPr="00400616">
        <w:rPr>
          <w:rFonts w:eastAsia="Times New Roman"/>
        </w:rPr>
        <w:t xml:space="preserve"> « clef de s</w:t>
      </w:r>
      <w:r w:rsidR="007F6939" w:rsidRPr="00400616">
        <w:rPr>
          <w:rFonts w:eastAsia="Times New Roman"/>
        </w:rPr>
        <w:t>ecours de la salle de projection »</w:t>
      </w:r>
    </w:p>
    <w:p w14:paraId="6DCCB20A" w14:textId="34E8A11E" w:rsidR="007955D4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CF5EAD" w:rsidRPr="00400616">
        <w:rPr>
          <w:rFonts w:eastAsia="Times New Roman"/>
        </w:rPr>
        <w:t>2</w:t>
      </w:r>
      <w:r w:rsidR="00743196" w:rsidRPr="00400616">
        <w:rPr>
          <w:rFonts w:eastAsia="Times New Roman"/>
        </w:rPr>
        <w:t xml:space="preserve"> </w:t>
      </w:r>
      <w:r w:rsidR="005E186B" w:rsidRPr="00400616">
        <w:rPr>
          <w:rFonts w:eastAsia="Times New Roman"/>
        </w:rPr>
        <w:t>affiche</w:t>
      </w:r>
      <w:r w:rsidR="007F6939" w:rsidRPr="00400616">
        <w:rPr>
          <w:rFonts w:eastAsia="Times New Roman"/>
        </w:rPr>
        <w:t>tte</w:t>
      </w:r>
      <w:r w:rsidR="00CF5EAD" w:rsidRPr="00400616">
        <w:rPr>
          <w:rFonts w:eastAsia="Times New Roman"/>
        </w:rPr>
        <w:t>s</w:t>
      </w:r>
      <w:r w:rsidR="005E186B" w:rsidRPr="00400616">
        <w:rPr>
          <w:rFonts w:eastAsia="Times New Roman"/>
        </w:rPr>
        <w:t xml:space="preserve"> </w:t>
      </w:r>
      <w:r w:rsidR="00743196" w:rsidRPr="00400616">
        <w:rPr>
          <w:rFonts w:eastAsia="Times New Roman"/>
        </w:rPr>
        <w:t>d’</w:t>
      </w:r>
      <w:r w:rsidR="00CF5EAD" w:rsidRPr="00400616">
        <w:rPr>
          <w:rFonts w:eastAsia="Times New Roman"/>
        </w:rPr>
        <w:t>anniversaire</w:t>
      </w:r>
    </w:p>
    <w:p w14:paraId="5FCCA2F8" w14:textId="5899C6FE" w:rsidR="007F6939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F6939" w:rsidRPr="00400616">
        <w:rPr>
          <w:rFonts w:eastAsia="Times New Roman"/>
        </w:rPr>
        <w:t>1 carte d’anniversaire</w:t>
      </w:r>
    </w:p>
    <w:p w14:paraId="06CD4F34" w14:textId="014DD498" w:rsidR="00883453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883453" w:rsidRPr="00400616">
        <w:rPr>
          <w:rFonts w:eastAsia="Times New Roman"/>
        </w:rPr>
        <w:t>1 planning de séances</w:t>
      </w:r>
    </w:p>
    <w:p w14:paraId="690647DB" w14:textId="3EEB70AC" w:rsidR="002F366A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2F366A" w:rsidRPr="00400616">
        <w:rPr>
          <w:rFonts w:eastAsia="Times New Roman"/>
        </w:rPr>
        <w:t>4 photographies polaroïd</w:t>
      </w:r>
    </w:p>
    <w:p w14:paraId="1C33A86E" w14:textId="00CF7413" w:rsidR="002F366A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AB7313" w:rsidRPr="00400616">
        <w:rPr>
          <w:rFonts w:eastAsia="Times New Roman"/>
        </w:rPr>
        <w:t xml:space="preserve">1 </w:t>
      </w:r>
      <w:r w:rsidR="00D16AE5" w:rsidRPr="00400616">
        <w:rPr>
          <w:rFonts w:eastAsia="Times New Roman"/>
        </w:rPr>
        <w:t>prospectus</w:t>
      </w:r>
    </w:p>
    <w:p w14:paraId="28325412" w14:textId="71217C83" w:rsidR="00D16AE5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D16AE5" w:rsidRPr="00400616">
        <w:rPr>
          <w:rFonts w:eastAsia="Times New Roman"/>
        </w:rPr>
        <w:t>1 sac à main</w:t>
      </w:r>
    </w:p>
    <w:p w14:paraId="1CECA625" w14:textId="79AB3497" w:rsidR="00D16AE5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D16AE5" w:rsidRPr="00400616">
        <w:rPr>
          <w:rFonts w:eastAsia="Times New Roman"/>
        </w:rPr>
        <w:t>1 note interne</w:t>
      </w:r>
    </w:p>
    <w:p w14:paraId="6D74D8A0" w14:textId="4386FF7C" w:rsidR="00D16AE5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D16AE5" w:rsidRPr="00400616">
        <w:rPr>
          <w:rFonts w:eastAsia="Times New Roman"/>
        </w:rPr>
        <w:t xml:space="preserve">8 moitiés </w:t>
      </w:r>
      <w:r w:rsidR="00BF5DA6" w:rsidRPr="00400616">
        <w:rPr>
          <w:rFonts w:eastAsia="Times New Roman"/>
        </w:rPr>
        <w:t>de tickets d’entrée</w:t>
      </w:r>
    </w:p>
    <w:p w14:paraId="7FD735BB" w14:textId="72245C7B" w:rsidR="00BF5DA6" w:rsidRPr="00400616" w:rsidRDefault="00400616" w:rsidP="00400616">
      <w:pPr>
        <w:rPr>
          <w:rFonts w:eastAsia="Times New Roma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☐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BF5DA6" w:rsidRPr="00400616">
        <w:rPr>
          <w:rFonts w:eastAsia="Times New Roman"/>
        </w:rPr>
        <w:t>1 portefeuille</w:t>
      </w:r>
    </w:p>
    <w:p w14:paraId="69F33D92" w14:textId="77777777" w:rsidR="00573E58" w:rsidRDefault="00573E58" w:rsidP="00573E58">
      <w:pPr>
        <w:rPr>
          <w:rFonts w:eastAsia="Times New Roman"/>
        </w:rPr>
      </w:pPr>
    </w:p>
    <w:p w14:paraId="65B953F7" w14:textId="77777777" w:rsidR="00573E58" w:rsidRDefault="00573E58" w:rsidP="00573E58">
      <w:pPr>
        <w:rPr>
          <w:rFonts w:eastAsia="Times New Roman"/>
        </w:rPr>
      </w:pPr>
    </w:p>
    <w:p w14:paraId="11D71176" w14:textId="77777777" w:rsidR="00573E58" w:rsidRDefault="00573E58" w:rsidP="00573E58">
      <w:pPr>
        <w:rPr>
          <w:rFonts w:eastAsia="Times New Roman"/>
        </w:rPr>
      </w:pPr>
    </w:p>
    <w:p w14:paraId="02C59079" w14:textId="77777777" w:rsidR="00573E58" w:rsidRDefault="00573E58" w:rsidP="00573E58">
      <w:pPr>
        <w:rPr>
          <w:rFonts w:eastAsia="Times New Roman"/>
        </w:rPr>
      </w:pPr>
    </w:p>
    <w:p w14:paraId="704412B3" w14:textId="77777777" w:rsidR="00573E58" w:rsidRDefault="00573E58" w:rsidP="00573E58">
      <w:pPr>
        <w:rPr>
          <w:rFonts w:eastAsia="Times New Roman"/>
        </w:rPr>
      </w:pPr>
    </w:p>
    <w:p w14:paraId="7E8E4554" w14:textId="77777777" w:rsidR="00573E58" w:rsidRDefault="00573E58" w:rsidP="00573E58">
      <w:pPr>
        <w:rPr>
          <w:rFonts w:eastAsia="Times New Roman"/>
        </w:rPr>
      </w:pPr>
    </w:p>
    <w:p w14:paraId="33069270" w14:textId="77777777" w:rsidR="00573E58" w:rsidRDefault="00573E58" w:rsidP="00573E58">
      <w:pPr>
        <w:rPr>
          <w:rFonts w:eastAsia="Times New Roman"/>
        </w:rPr>
      </w:pPr>
    </w:p>
    <w:p w14:paraId="1E2CB452" w14:textId="77777777" w:rsidR="00573E58" w:rsidRDefault="00573E58" w:rsidP="00573E58">
      <w:pPr>
        <w:rPr>
          <w:rFonts w:eastAsia="Times New Roman"/>
        </w:rPr>
      </w:pPr>
    </w:p>
    <w:p w14:paraId="340E7B44" w14:textId="77777777" w:rsidR="00573E58" w:rsidRDefault="00573E58" w:rsidP="00573E58">
      <w:pPr>
        <w:rPr>
          <w:rFonts w:eastAsia="Times New Roman"/>
        </w:rPr>
      </w:pPr>
    </w:p>
    <w:p w14:paraId="2A9BB280" w14:textId="77777777" w:rsidR="00573E58" w:rsidRDefault="00573E58" w:rsidP="00573E58">
      <w:pPr>
        <w:rPr>
          <w:rFonts w:eastAsia="Times New Roman"/>
        </w:rPr>
      </w:pPr>
    </w:p>
    <w:p w14:paraId="321BA753" w14:textId="77777777" w:rsidR="00573E58" w:rsidRDefault="00573E58" w:rsidP="00573E58">
      <w:pPr>
        <w:rPr>
          <w:rFonts w:eastAsia="Times New Roman"/>
        </w:rPr>
      </w:pPr>
    </w:p>
    <w:p w14:paraId="69EEF849" w14:textId="77777777" w:rsidR="00573E58" w:rsidRDefault="00573E58" w:rsidP="00573E58">
      <w:pPr>
        <w:rPr>
          <w:rFonts w:eastAsia="Times New Roman"/>
        </w:rPr>
      </w:pPr>
    </w:p>
    <w:p w14:paraId="0FB80042" w14:textId="77777777" w:rsidR="00573E58" w:rsidRDefault="00573E58" w:rsidP="00573E58">
      <w:pPr>
        <w:rPr>
          <w:rFonts w:eastAsia="Times New Roman"/>
        </w:rPr>
      </w:pPr>
    </w:p>
    <w:p w14:paraId="20EEA17F" w14:textId="77777777" w:rsidR="00573E58" w:rsidRDefault="00573E58" w:rsidP="00573E58">
      <w:pPr>
        <w:rPr>
          <w:rFonts w:eastAsia="Times New Roman"/>
        </w:rPr>
      </w:pPr>
    </w:p>
    <w:p w14:paraId="7DB63D7B" w14:textId="77777777" w:rsidR="00573E58" w:rsidRDefault="00573E58" w:rsidP="00573E58">
      <w:pPr>
        <w:rPr>
          <w:rFonts w:eastAsia="Times New Roman"/>
        </w:rPr>
      </w:pPr>
    </w:p>
    <w:p w14:paraId="5361884D" w14:textId="77777777" w:rsidR="00573E58" w:rsidRDefault="00573E58" w:rsidP="00573E58">
      <w:pPr>
        <w:rPr>
          <w:rFonts w:eastAsia="Times New Roman"/>
        </w:rPr>
      </w:pPr>
    </w:p>
    <w:p w14:paraId="5FB6CC1C" w14:textId="77777777" w:rsidR="00573E58" w:rsidRDefault="00573E58" w:rsidP="00573E58">
      <w:pPr>
        <w:rPr>
          <w:rFonts w:eastAsia="Times New Roman"/>
        </w:rPr>
      </w:pPr>
    </w:p>
    <w:p w14:paraId="02C13BB9" w14:textId="77777777" w:rsidR="00573E58" w:rsidRDefault="00573E58" w:rsidP="00573E58">
      <w:pPr>
        <w:rPr>
          <w:rFonts w:eastAsia="Times New Roman"/>
        </w:rPr>
      </w:pPr>
    </w:p>
    <w:p w14:paraId="4A1CCAC0" w14:textId="77777777" w:rsidR="00573E58" w:rsidRDefault="00573E58" w:rsidP="00573E58">
      <w:pPr>
        <w:rPr>
          <w:rFonts w:eastAsia="Times New Roman"/>
        </w:rPr>
      </w:pPr>
    </w:p>
    <w:p w14:paraId="4D9AF77A" w14:textId="77777777" w:rsidR="00573E58" w:rsidRDefault="00573E58" w:rsidP="00573E58">
      <w:pPr>
        <w:rPr>
          <w:rFonts w:eastAsia="Times New Roman"/>
        </w:rPr>
      </w:pPr>
    </w:p>
    <w:p w14:paraId="4D14D7FD" w14:textId="77777777" w:rsidR="00573E58" w:rsidRDefault="00573E58" w:rsidP="00573E58">
      <w:pPr>
        <w:rPr>
          <w:rFonts w:eastAsia="Times New Roman"/>
        </w:rPr>
      </w:pPr>
    </w:p>
    <w:p w14:paraId="5819EC9C" w14:textId="77777777" w:rsidR="00573E58" w:rsidRDefault="00573E58" w:rsidP="00573E58">
      <w:pPr>
        <w:pStyle w:val="Formatlibre"/>
        <w:spacing w:after="120" w:line="276" w:lineRule="auto"/>
        <w:ind w:left="360" w:right="290"/>
        <w:jc w:val="center"/>
        <w:rPr>
          <w:rFonts w:asciiTheme="majorHAnsi" w:hAnsiTheme="majorHAnsi" w:cs="Arial"/>
          <w:b/>
          <w:sz w:val="28"/>
          <w:szCs w:val="28"/>
        </w:rPr>
      </w:pPr>
      <w:r w:rsidRPr="00FE3C18">
        <w:rPr>
          <w:rFonts w:asciiTheme="majorHAnsi" w:hAnsiTheme="majorHAnsi" w:cs="Arial"/>
          <w:b/>
          <w:sz w:val="28"/>
          <w:szCs w:val="28"/>
        </w:rPr>
        <w:t>BON DE RETOUR DU MATERIEL</w:t>
      </w:r>
    </w:p>
    <w:p w14:paraId="7596F768" w14:textId="77777777" w:rsidR="00573E58" w:rsidRPr="00FE3C18" w:rsidRDefault="00573E58" w:rsidP="00573E58">
      <w:pPr>
        <w:pStyle w:val="Formatlibre"/>
        <w:spacing w:after="120" w:line="276" w:lineRule="auto"/>
        <w:ind w:left="360" w:right="290"/>
        <w:jc w:val="center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Grille"/>
        <w:tblW w:w="10774" w:type="dxa"/>
        <w:tblInd w:w="-743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573E58" w:rsidRPr="00B839DC" w14:paraId="63B930DB" w14:textId="77777777" w:rsidTr="00573E58">
        <w:trPr>
          <w:trHeight w:val="998"/>
        </w:trPr>
        <w:tc>
          <w:tcPr>
            <w:tcW w:w="5246" w:type="dxa"/>
          </w:tcPr>
          <w:p w14:paraId="3B9E4FB6" w14:textId="77777777" w:rsidR="00573E58" w:rsidRDefault="00573E58" w:rsidP="00573E58">
            <w:pPr>
              <w:pStyle w:val="Formatlibre"/>
              <w:tabs>
                <w:tab w:val="left" w:pos="1500"/>
              </w:tabs>
              <w:spacing w:after="120"/>
              <w:ind w:left="17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Nom, </w:t>
            </w:r>
            <w:r w:rsidRPr="00A1639C">
              <w:rPr>
                <w:rFonts w:ascii="Calibri" w:hAnsi="Calibri" w:cs="Arial"/>
                <w:b/>
                <w:sz w:val="28"/>
                <w:szCs w:val="28"/>
              </w:rPr>
              <w:t>prénom</w:t>
            </w:r>
            <w:r w:rsidRPr="00B839DC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A573DE">
              <w:rPr>
                <w:rFonts w:ascii="Calibri" w:hAnsi="Calibri" w:cs="Arial"/>
                <w:b/>
                <w:sz w:val="28"/>
                <w:szCs w:val="28"/>
              </w:rPr>
              <w:t xml:space="preserve">– structure </w:t>
            </w:r>
          </w:p>
          <w:p w14:paraId="4364C791" w14:textId="77777777" w:rsidR="00573E58" w:rsidRPr="00D06BD4" w:rsidRDefault="00573E58" w:rsidP="00573E58">
            <w:pPr>
              <w:pStyle w:val="Formatlibre"/>
              <w:tabs>
                <w:tab w:val="left" w:pos="1500"/>
              </w:tabs>
              <w:spacing w:after="120"/>
              <w:ind w:left="170"/>
              <w:jc w:val="both"/>
              <w:rPr>
                <w:rFonts w:ascii="Calibri" w:hAnsi="Calibri" w:cs="Arial"/>
                <w:color w:val="5F497A" w:themeColor="accent4" w:themeShade="BF"/>
                <w:sz w:val="16"/>
                <w:szCs w:val="16"/>
              </w:rPr>
            </w:pPr>
            <w:r w:rsidRPr="00D06BD4">
              <w:rPr>
                <w:rFonts w:ascii="Calibri" w:hAnsi="Calibri" w:cs="Arial"/>
                <w:color w:val="5F497A" w:themeColor="accent4" w:themeShade="BF"/>
                <w:sz w:val="24"/>
                <w:szCs w:val="24"/>
              </w:rPr>
              <w:t>de la personne en charge du retour du matériel</w:t>
            </w:r>
          </w:p>
        </w:tc>
        <w:tc>
          <w:tcPr>
            <w:tcW w:w="5528" w:type="dxa"/>
          </w:tcPr>
          <w:p w14:paraId="0C48E656" w14:textId="77777777" w:rsidR="00573E58" w:rsidRPr="00B839DC" w:rsidRDefault="00573E58" w:rsidP="00573E58">
            <w:pPr>
              <w:pStyle w:val="Formatlibre"/>
              <w:spacing w:after="120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73E58" w:rsidRPr="00B839DC" w14:paraId="676D740A" w14:textId="77777777" w:rsidTr="00573E58">
        <w:trPr>
          <w:trHeight w:val="684"/>
        </w:trPr>
        <w:tc>
          <w:tcPr>
            <w:tcW w:w="5246" w:type="dxa"/>
          </w:tcPr>
          <w:p w14:paraId="52942390" w14:textId="77777777" w:rsidR="00573E58" w:rsidRPr="00777D5B" w:rsidRDefault="00573E58" w:rsidP="00573E58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br/>
            </w:r>
            <w:r w:rsidRPr="00777D5B">
              <w:rPr>
                <w:rFonts w:ascii="Calibri" w:hAnsi="Calibri" w:cs="Arial"/>
                <w:b/>
                <w:sz w:val="28"/>
                <w:szCs w:val="28"/>
              </w:rPr>
              <w:t>Date et heure</w:t>
            </w:r>
            <w:r w:rsidRPr="00B839DC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777D5B">
              <w:rPr>
                <w:rFonts w:ascii="Calibri" w:hAnsi="Calibri" w:cs="Arial"/>
                <w:sz w:val="24"/>
                <w:szCs w:val="24"/>
              </w:rPr>
              <w:t>du dépôt du matériel </w:t>
            </w:r>
          </w:p>
        </w:tc>
        <w:tc>
          <w:tcPr>
            <w:tcW w:w="5528" w:type="dxa"/>
          </w:tcPr>
          <w:p w14:paraId="18253BA2" w14:textId="77777777" w:rsidR="00573E58" w:rsidRPr="00B839DC" w:rsidRDefault="00573E58" w:rsidP="00573E58">
            <w:pPr>
              <w:pStyle w:val="Formatlibre"/>
              <w:spacing w:after="120" w:line="276" w:lineRule="auto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73E58" w:rsidRPr="00B839DC" w14:paraId="25B049A4" w14:textId="77777777" w:rsidTr="00573E58">
        <w:trPr>
          <w:trHeight w:val="2443"/>
        </w:trPr>
        <w:tc>
          <w:tcPr>
            <w:tcW w:w="5246" w:type="dxa"/>
          </w:tcPr>
          <w:p w14:paraId="6D099AB1" w14:textId="77777777" w:rsidR="00573E58" w:rsidRDefault="00573E58" w:rsidP="00573E58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24806A32" w14:textId="77777777" w:rsidR="00573E58" w:rsidRDefault="00573E58" w:rsidP="00573E58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6D76B73C" w14:textId="670EEF28" w:rsidR="00573E58" w:rsidRPr="00B839DC" w:rsidRDefault="00573E58" w:rsidP="001A5B7B">
            <w:pPr>
              <w:pStyle w:val="Formatlibre"/>
              <w:spacing w:after="120" w:line="276" w:lineRule="auto"/>
              <w:ind w:left="170"/>
              <w:rPr>
                <w:rFonts w:ascii="Calibri" w:hAnsi="Calibri" w:cs="Arial"/>
                <w:sz w:val="28"/>
                <w:szCs w:val="28"/>
              </w:rPr>
            </w:pPr>
            <w:r w:rsidRPr="00777D5B">
              <w:rPr>
                <w:rFonts w:ascii="Calibri" w:hAnsi="Calibri" w:cs="Arial"/>
                <w:b/>
                <w:sz w:val="28"/>
                <w:szCs w:val="28"/>
              </w:rPr>
              <w:t>Etat du matériel</w:t>
            </w:r>
            <w:r>
              <w:rPr>
                <w:rFonts w:ascii="Calibri" w:hAnsi="Calibri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28" w:type="dxa"/>
          </w:tcPr>
          <w:p w14:paraId="7E60660A" w14:textId="77777777" w:rsidR="00573E58" w:rsidRDefault="00573E58" w:rsidP="00573E58">
            <w:pPr>
              <w:pStyle w:val="Formatlibre"/>
              <w:spacing w:line="276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14:paraId="75841462" w14:textId="42F9BF9A" w:rsidR="001A5B7B" w:rsidRPr="001A5B7B" w:rsidRDefault="00573E58" w:rsidP="001A5B7B">
            <w:pPr>
              <w:pStyle w:val="Formatlibre"/>
              <w:spacing w:line="480" w:lineRule="auto"/>
              <w:ind w:left="17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Matériel complet :       </w:t>
            </w:r>
            <w:r w:rsidRPr="00073549">
              <w:rPr>
                <w:rFonts w:ascii="Calibri" w:hAnsi="Calibri" w:cs="Arial"/>
                <w:sz w:val="24"/>
                <w:szCs w:val="24"/>
              </w:rPr>
              <w:t xml:space="preserve">OUI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073549">
              <w:rPr>
                <w:rFonts w:ascii="Calibri" w:hAnsi="Calibri" w:cs="Arial"/>
                <w:sz w:val="24"/>
                <w:szCs w:val="24"/>
              </w:rPr>
              <w:t xml:space="preserve">   NON</w:t>
            </w:r>
          </w:p>
          <w:p w14:paraId="1457A75B" w14:textId="77777777" w:rsidR="00573E58" w:rsidRPr="00073549" w:rsidRDefault="00573E58" w:rsidP="00573E58">
            <w:pPr>
              <w:pStyle w:val="Formatlibre"/>
              <w:spacing w:after="120" w:line="480" w:lineRule="auto"/>
              <w:ind w:left="17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8"/>
                <w:szCs w:val="28"/>
              </w:rPr>
              <w:t xml:space="preserve">Matériel rangé en l’état :         </w:t>
            </w:r>
            <w:r w:rsidRPr="00073549">
              <w:rPr>
                <w:rFonts w:ascii="Calibri" w:hAnsi="Calibri" w:cs="Arial"/>
                <w:sz w:val="24"/>
                <w:szCs w:val="24"/>
              </w:rPr>
              <w:t xml:space="preserve">OUI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073549">
              <w:rPr>
                <w:rFonts w:ascii="Calibri" w:hAnsi="Calibri" w:cs="Arial"/>
                <w:sz w:val="24"/>
                <w:szCs w:val="24"/>
              </w:rPr>
              <w:t xml:space="preserve"> NON</w:t>
            </w:r>
          </w:p>
          <w:p w14:paraId="01BC08F5" w14:textId="4F651FDC" w:rsidR="00573E58" w:rsidRPr="00B839DC" w:rsidRDefault="00573E58" w:rsidP="00573E58">
            <w:pPr>
              <w:pStyle w:val="Formatlibre"/>
              <w:spacing w:after="120" w:line="360" w:lineRule="auto"/>
              <w:ind w:left="170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73E58" w:rsidRPr="00B839DC" w14:paraId="1BAA98C0" w14:textId="77777777" w:rsidTr="00573E58">
        <w:trPr>
          <w:trHeight w:val="1912"/>
        </w:trPr>
        <w:tc>
          <w:tcPr>
            <w:tcW w:w="5246" w:type="dxa"/>
          </w:tcPr>
          <w:p w14:paraId="7705D99D" w14:textId="77777777" w:rsidR="00573E58" w:rsidRDefault="00573E58" w:rsidP="00573E58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367A665B" w14:textId="77777777" w:rsidR="00573E58" w:rsidRDefault="00573E58" w:rsidP="00573E58">
            <w:pPr>
              <w:pStyle w:val="Formatlibre"/>
              <w:spacing w:after="120" w:line="276" w:lineRule="auto"/>
              <w:ind w:left="170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Commentaire</w:t>
            </w:r>
            <w:r w:rsidRPr="00777D5B">
              <w:rPr>
                <w:rFonts w:ascii="Calibri" w:hAnsi="Calibri" w:cs="Arial"/>
                <w:b/>
                <w:sz w:val="28"/>
                <w:szCs w:val="28"/>
              </w:rPr>
              <w:t xml:space="preserve"> associé</w:t>
            </w:r>
          </w:p>
        </w:tc>
        <w:tc>
          <w:tcPr>
            <w:tcW w:w="5528" w:type="dxa"/>
          </w:tcPr>
          <w:p w14:paraId="10B57087" w14:textId="77777777" w:rsidR="00573E58" w:rsidRPr="00B839DC" w:rsidRDefault="00573E58" w:rsidP="00573E58">
            <w:pPr>
              <w:pStyle w:val="Formatlibre"/>
              <w:spacing w:after="120" w:line="276" w:lineRule="auto"/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7AB2CFF1" w14:textId="77777777" w:rsidR="00573E58" w:rsidRPr="001E1433" w:rsidRDefault="00573E58" w:rsidP="00573E58">
      <w:pPr>
        <w:pStyle w:val="Formatlibre"/>
        <w:spacing w:after="120" w:line="276" w:lineRule="auto"/>
        <w:ind w:right="290"/>
        <w:jc w:val="both"/>
        <w:rPr>
          <w:rFonts w:ascii="Calibri" w:hAnsi="Calibri" w:cs="Arial"/>
          <w:b/>
          <w:i/>
          <w:sz w:val="24"/>
          <w:szCs w:val="24"/>
        </w:rPr>
      </w:pPr>
    </w:p>
    <w:p w14:paraId="38E05AB8" w14:textId="77777777" w:rsidR="00573E58" w:rsidRDefault="00573E58" w:rsidP="006B4A98">
      <w:pPr>
        <w:pStyle w:val="Formatlibre"/>
        <w:pBdr>
          <w:bottom w:val="single" w:sz="12" w:space="13" w:color="auto"/>
        </w:pBdr>
        <w:spacing w:after="120" w:line="276" w:lineRule="auto"/>
        <w:ind w:right="290"/>
        <w:jc w:val="both"/>
        <w:rPr>
          <w:rFonts w:ascii="Calibri" w:hAnsi="Calibri" w:cs="Arial"/>
          <w:b/>
          <w:i/>
          <w:sz w:val="28"/>
          <w:szCs w:val="28"/>
        </w:rPr>
      </w:pPr>
      <w:r w:rsidRPr="00CD6BA0">
        <w:rPr>
          <w:rFonts w:ascii="Calibri" w:hAnsi="Calibri" w:cs="Arial"/>
          <w:b/>
          <w:i/>
          <w:sz w:val="28"/>
          <w:szCs w:val="28"/>
        </w:rPr>
        <w:t xml:space="preserve">Signature : </w:t>
      </w:r>
    </w:p>
    <w:p w14:paraId="12051C97" w14:textId="77777777" w:rsidR="00573E58" w:rsidRDefault="00573E58" w:rsidP="006B4A98">
      <w:pPr>
        <w:pStyle w:val="Formatlibre"/>
        <w:pBdr>
          <w:bottom w:val="single" w:sz="12" w:space="13" w:color="auto"/>
        </w:pBdr>
        <w:spacing w:after="120" w:line="276" w:lineRule="auto"/>
        <w:ind w:right="290"/>
        <w:jc w:val="both"/>
        <w:rPr>
          <w:rFonts w:ascii="Calibri" w:hAnsi="Calibri" w:cs="Arial"/>
          <w:i/>
          <w:sz w:val="28"/>
          <w:szCs w:val="28"/>
        </w:rPr>
      </w:pPr>
    </w:p>
    <w:p w14:paraId="5CF185BA" w14:textId="77777777" w:rsidR="006B4A98" w:rsidRDefault="006B4A98" w:rsidP="006B4A98">
      <w:pPr>
        <w:pStyle w:val="Formatlibre"/>
        <w:pBdr>
          <w:bottom w:val="single" w:sz="12" w:space="13" w:color="auto"/>
        </w:pBdr>
        <w:spacing w:after="120" w:line="276" w:lineRule="auto"/>
        <w:ind w:right="290"/>
        <w:jc w:val="both"/>
        <w:rPr>
          <w:rFonts w:ascii="Calibri" w:hAnsi="Calibri" w:cs="Arial"/>
          <w:i/>
          <w:sz w:val="28"/>
          <w:szCs w:val="28"/>
        </w:rPr>
      </w:pPr>
    </w:p>
    <w:p w14:paraId="38A40FF4" w14:textId="77777777" w:rsidR="006B4A98" w:rsidRPr="001C6280" w:rsidRDefault="006B4A98" w:rsidP="006B4A98">
      <w:pPr>
        <w:pStyle w:val="Formatlibre"/>
        <w:pBdr>
          <w:bottom w:val="single" w:sz="12" w:space="13" w:color="auto"/>
        </w:pBdr>
        <w:spacing w:after="120" w:line="276" w:lineRule="auto"/>
        <w:ind w:right="290"/>
        <w:jc w:val="both"/>
        <w:rPr>
          <w:rFonts w:ascii="Calibri" w:hAnsi="Calibri" w:cs="Arial"/>
          <w:i/>
          <w:sz w:val="28"/>
          <w:szCs w:val="28"/>
        </w:rPr>
      </w:pPr>
    </w:p>
    <w:p w14:paraId="035E4257" w14:textId="228F4EBA" w:rsidR="00573E58" w:rsidRPr="006B4A98" w:rsidRDefault="00FC1D6F" w:rsidP="006B4A98">
      <w:pPr>
        <w:pStyle w:val="Formatlibre"/>
        <w:pBdr>
          <w:bottom w:val="single" w:sz="12" w:space="13" w:color="auto"/>
        </w:pBdr>
        <w:spacing w:after="120" w:line="276" w:lineRule="auto"/>
        <w:ind w:right="290"/>
        <w:jc w:val="both"/>
        <w:rPr>
          <w:rFonts w:ascii="Calibri" w:hAnsi="Calibri" w:cs="Arial"/>
          <w:b/>
          <w:i/>
          <w:color w:val="FF0000"/>
          <w:sz w:val="28"/>
          <w:szCs w:val="28"/>
        </w:rPr>
      </w:pPr>
      <w:r w:rsidRPr="006B4A98">
        <w:rPr>
          <w:rFonts w:ascii="Calibri" w:hAnsi="Calibri" w:cs="Arial"/>
          <w:i/>
          <w:color w:val="FF0000"/>
          <w:sz w:val="28"/>
          <w:szCs w:val="28"/>
        </w:rPr>
        <w:t>Sous un délai</w:t>
      </w:r>
      <w:r w:rsidR="004A5A30" w:rsidRPr="006B4A98">
        <w:rPr>
          <w:rFonts w:ascii="Calibri" w:hAnsi="Calibri" w:cs="Arial"/>
          <w:i/>
          <w:color w:val="FF0000"/>
          <w:sz w:val="28"/>
          <w:szCs w:val="28"/>
        </w:rPr>
        <w:t xml:space="preserve"> de 72h après restitution du matériel, </w:t>
      </w:r>
      <w:r w:rsidRPr="006B4A98">
        <w:rPr>
          <w:rFonts w:ascii="Calibri" w:hAnsi="Calibri" w:cs="Arial"/>
          <w:i/>
          <w:color w:val="FF0000"/>
          <w:sz w:val="28"/>
          <w:szCs w:val="28"/>
        </w:rPr>
        <w:t xml:space="preserve">L’équipe du RECIT </w:t>
      </w:r>
      <w:r w:rsidR="004A5A30" w:rsidRPr="006B4A98">
        <w:rPr>
          <w:rFonts w:ascii="Calibri" w:hAnsi="Calibri" w:cs="Arial"/>
          <w:i/>
          <w:color w:val="FF0000"/>
          <w:sz w:val="28"/>
          <w:szCs w:val="28"/>
        </w:rPr>
        <w:t>peut être a</w:t>
      </w:r>
      <w:r w:rsidR="00B57E9A" w:rsidRPr="006B4A98">
        <w:rPr>
          <w:rFonts w:ascii="Calibri" w:hAnsi="Calibri" w:cs="Arial"/>
          <w:i/>
          <w:color w:val="FF0000"/>
          <w:sz w:val="28"/>
          <w:szCs w:val="28"/>
        </w:rPr>
        <w:t>mené</w:t>
      </w:r>
      <w:r w:rsidRPr="006B4A98">
        <w:rPr>
          <w:rFonts w:ascii="Calibri" w:hAnsi="Calibri" w:cs="Arial"/>
          <w:i/>
          <w:color w:val="FF0000"/>
          <w:sz w:val="28"/>
          <w:szCs w:val="28"/>
        </w:rPr>
        <w:t>e</w:t>
      </w:r>
      <w:r w:rsidR="00B57E9A" w:rsidRPr="006B4A98">
        <w:rPr>
          <w:rFonts w:ascii="Calibri" w:hAnsi="Calibri" w:cs="Arial"/>
          <w:i/>
          <w:color w:val="FF0000"/>
          <w:sz w:val="28"/>
          <w:szCs w:val="28"/>
        </w:rPr>
        <w:t xml:space="preserve"> à revenir vers vous si un</w:t>
      </w:r>
      <w:r w:rsidR="006B4A98" w:rsidRPr="006B4A98">
        <w:rPr>
          <w:rFonts w:ascii="Calibri" w:hAnsi="Calibri" w:cs="Arial"/>
          <w:i/>
          <w:color w:val="FF0000"/>
          <w:sz w:val="28"/>
          <w:szCs w:val="28"/>
        </w:rPr>
        <w:t xml:space="preserve"> </w:t>
      </w:r>
      <w:r w:rsidR="00B57E9A" w:rsidRPr="006B4A98">
        <w:rPr>
          <w:rFonts w:ascii="Calibri" w:hAnsi="Calibri" w:cs="Arial"/>
          <w:i/>
          <w:color w:val="FF0000"/>
          <w:sz w:val="28"/>
          <w:szCs w:val="28"/>
        </w:rPr>
        <w:t xml:space="preserve">dégât ou perte est constaté·e </w:t>
      </w:r>
      <w:r w:rsidR="001C6280" w:rsidRPr="006B4A98">
        <w:rPr>
          <w:rFonts w:ascii="Calibri" w:hAnsi="Calibri" w:cs="Arial"/>
          <w:i/>
          <w:color w:val="FF0000"/>
          <w:sz w:val="28"/>
          <w:szCs w:val="28"/>
        </w:rPr>
        <w:t>ultérieurement</w:t>
      </w:r>
      <w:r w:rsidR="00B57E9A" w:rsidRPr="006B4A98">
        <w:rPr>
          <w:rFonts w:ascii="Calibri" w:hAnsi="Calibri" w:cs="Arial"/>
          <w:i/>
          <w:color w:val="FF0000"/>
          <w:sz w:val="28"/>
          <w:szCs w:val="28"/>
        </w:rPr>
        <w:t>.</w:t>
      </w:r>
      <w:r w:rsidR="001C6280" w:rsidRPr="006B4A98">
        <w:rPr>
          <w:rFonts w:ascii="Calibri" w:hAnsi="Calibri" w:cs="Arial"/>
          <w:i/>
          <w:color w:val="FF0000"/>
          <w:sz w:val="28"/>
          <w:szCs w:val="28"/>
        </w:rPr>
        <w:t xml:space="preserve"> Un remboursement/remplacement de la pièce</w:t>
      </w:r>
      <w:r w:rsidRPr="006B4A98">
        <w:rPr>
          <w:rFonts w:ascii="Calibri" w:hAnsi="Calibri" w:cs="Arial"/>
          <w:i/>
          <w:color w:val="FF0000"/>
          <w:sz w:val="28"/>
          <w:szCs w:val="28"/>
        </w:rPr>
        <w:t xml:space="preserve"> / des pièces sera envisagé.</w:t>
      </w:r>
    </w:p>
    <w:p w14:paraId="09184E8C" w14:textId="77777777" w:rsidR="0053180B" w:rsidRDefault="0053180B" w:rsidP="00573E58">
      <w:pPr>
        <w:pStyle w:val="Formatlibre"/>
        <w:tabs>
          <w:tab w:val="left" w:pos="9064"/>
        </w:tabs>
        <w:spacing w:after="120" w:line="276" w:lineRule="auto"/>
        <w:ind w:right="-1001"/>
        <w:rPr>
          <w:rFonts w:ascii="Calibri" w:hAnsi="Calibri" w:cs="Arial"/>
          <w:color w:val="5F497A" w:themeColor="accent4" w:themeShade="BF"/>
          <w:sz w:val="24"/>
          <w:szCs w:val="24"/>
        </w:rPr>
      </w:pPr>
    </w:p>
    <w:p w14:paraId="508A6D9F" w14:textId="0E4834F5" w:rsidR="00573E58" w:rsidRPr="006D7004" w:rsidRDefault="00573E58" w:rsidP="0053180B">
      <w:pPr>
        <w:rPr>
          <w:rFonts w:ascii="Calibri" w:hAnsi="Calibri" w:cs="Arial"/>
          <w:i/>
          <w:lang w:eastAsia="fr-FR"/>
        </w:rPr>
      </w:pPr>
    </w:p>
    <w:sectPr w:rsidR="00573E58" w:rsidRPr="006D7004" w:rsidSect="00CB626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1A5B7B" w:rsidRDefault="001A5B7B">
      <w:r>
        <w:separator/>
      </w:r>
    </w:p>
  </w:endnote>
  <w:endnote w:type="continuationSeparator" w:id="0">
    <w:p w14:paraId="1AB0E21F" w14:textId="77777777" w:rsidR="001A5B7B" w:rsidRDefault="001A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1A5B7B" w:rsidRDefault="001A5B7B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1A5B7B" w:rsidRDefault="001A5B7B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1A5B7B" w:rsidRPr="00871751" w:rsidRDefault="001A5B7B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1A5B7B" w:rsidRDefault="001A5B7B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1A5B7B" w:rsidRPr="006F762A" w:rsidRDefault="001A5B7B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D96F8A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2120F1A8" w:rsidR="001A5B7B" w:rsidRPr="0053180B" w:rsidRDefault="001A5B7B" w:rsidP="0053180B">
    <w:pPr>
      <w:pStyle w:val="Pieddepage"/>
      <w:ind w:right="360"/>
      <w:jc w:val="center"/>
      <w:rPr>
        <w:rFonts w:asciiTheme="majorHAnsi" w:hAnsiTheme="majorHAnsi"/>
        <w:sz w:val="18"/>
        <w:szCs w:val="18"/>
      </w:rPr>
    </w:pPr>
    <w:r w:rsidRPr="0053180B">
      <w:rPr>
        <w:rFonts w:asciiTheme="majorHAnsi" w:hAnsiTheme="majorHAnsi"/>
        <w:sz w:val="18"/>
        <w:szCs w:val="18"/>
      </w:rPr>
      <w:t>Convention de prêt de la malle escape game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1A5B7B" w:rsidRDefault="001A5B7B">
      <w:r>
        <w:separator/>
      </w:r>
    </w:p>
  </w:footnote>
  <w:footnote w:type="continuationSeparator" w:id="0">
    <w:p w14:paraId="6584E32B" w14:textId="77777777" w:rsidR="001A5B7B" w:rsidRDefault="001A5B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1A5B7B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1A5B7B" w:rsidRDefault="001A5B7B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1A5B7B" w:rsidRPr="00D95542" w:rsidRDefault="001A5B7B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1A5B7B" w:rsidRPr="00D95542" w:rsidRDefault="001A5B7B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1A5B7B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1A5B7B" w:rsidRDefault="001A5B7B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1A5B7B" w:rsidRDefault="001A5B7B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1A5B7B" w:rsidRDefault="001A5B7B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1A5B7B" w:rsidRDefault="001A5B7B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1A5B7B" w:rsidRDefault="001A5B7B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1A5B7B" w:rsidRDefault="001A5B7B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1A5B7B" w:rsidRDefault="001A5B7B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1A5B7B" w:rsidRDefault="001A5B7B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1A5B7B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1A5B7B" w:rsidRDefault="001A5B7B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1A5B7B" w:rsidRDefault="001A5B7B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1A5B7B" w:rsidRDefault="001A5B7B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1A5B7B" w:rsidRDefault="001A5B7B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1A5B7B" w:rsidRDefault="001A5B7B" w:rsidP="00CB626E">
    <w:pPr>
      <w:pStyle w:val="En-tte"/>
      <w:jc w:val="right"/>
    </w:pPr>
  </w:p>
  <w:p w14:paraId="464DFAAA" w14:textId="77777777" w:rsidR="001A5B7B" w:rsidRDefault="001A5B7B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057"/>
    <w:multiLevelType w:val="hybridMultilevel"/>
    <w:tmpl w:val="AA36744E"/>
    <w:lvl w:ilvl="0" w:tplc="8DA43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C1121"/>
    <w:multiLevelType w:val="hybridMultilevel"/>
    <w:tmpl w:val="84A2DF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005019"/>
    <w:rsid w:val="00137B46"/>
    <w:rsid w:val="001A5B7B"/>
    <w:rsid w:val="001C38F3"/>
    <w:rsid w:val="001C6280"/>
    <w:rsid w:val="001F2D9E"/>
    <w:rsid w:val="00205326"/>
    <w:rsid w:val="002076EC"/>
    <w:rsid w:val="00256163"/>
    <w:rsid w:val="002977EC"/>
    <w:rsid w:val="002F366A"/>
    <w:rsid w:val="00306D8E"/>
    <w:rsid w:val="00321335"/>
    <w:rsid w:val="00352339"/>
    <w:rsid w:val="00363672"/>
    <w:rsid w:val="003743DE"/>
    <w:rsid w:val="00384485"/>
    <w:rsid w:val="00385C1F"/>
    <w:rsid w:val="003D0A00"/>
    <w:rsid w:val="00400616"/>
    <w:rsid w:val="004A5A30"/>
    <w:rsid w:val="0053180B"/>
    <w:rsid w:val="0056187C"/>
    <w:rsid w:val="0057315C"/>
    <w:rsid w:val="00573E58"/>
    <w:rsid w:val="005C40BB"/>
    <w:rsid w:val="005C429B"/>
    <w:rsid w:val="005E186B"/>
    <w:rsid w:val="005E4F24"/>
    <w:rsid w:val="00631D26"/>
    <w:rsid w:val="006812AA"/>
    <w:rsid w:val="006B4A98"/>
    <w:rsid w:val="00743196"/>
    <w:rsid w:val="007955D4"/>
    <w:rsid w:val="007B3106"/>
    <w:rsid w:val="007D586E"/>
    <w:rsid w:val="007F6939"/>
    <w:rsid w:val="00814B05"/>
    <w:rsid w:val="00834EED"/>
    <w:rsid w:val="00883453"/>
    <w:rsid w:val="00893DEB"/>
    <w:rsid w:val="00915863"/>
    <w:rsid w:val="0096195A"/>
    <w:rsid w:val="009814B9"/>
    <w:rsid w:val="00A307E7"/>
    <w:rsid w:val="00A62F13"/>
    <w:rsid w:val="00A7122D"/>
    <w:rsid w:val="00AA15D2"/>
    <w:rsid w:val="00AB7313"/>
    <w:rsid w:val="00AC1BDE"/>
    <w:rsid w:val="00B2438A"/>
    <w:rsid w:val="00B35896"/>
    <w:rsid w:val="00B45234"/>
    <w:rsid w:val="00B57E9A"/>
    <w:rsid w:val="00BB44DE"/>
    <w:rsid w:val="00BD0949"/>
    <w:rsid w:val="00BD75B8"/>
    <w:rsid w:val="00BF5DA6"/>
    <w:rsid w:val="00CB626E"/>
    <w:rsid w:val="00CD643C"/>
    <w:rsid w:val="00CF5EAD"/>
    <w:rsid w:val="00D16AE5"/>
    <w:rsid w:val="00D8064E"/>
    <w:rsid w:val="00D96F8A"/>
    <w:rsid w:val="00E0132F"/>
    <w:rsid w:val="00E20AAC"/>
    <w:rsid w:val="00E328AF"/>
    <w:rsid w:val="00E67DF0"/>
    <w:rsid w:val="00E72263"/>
    <w:rsid w:val="00ED68D0"/>
    <w:rsid w:val="00F82181"/>
    <w:rsid w:val="00FC1D6F"/>
    <w:rsid w:val="00FF2624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2F366A"/>
    <w:pPr>
      <w:ind w:left="720"/>
      <w:contextualSpacing/>
    </w:pPr>
  </w:style>
  <w:style w:type="table" w:styleId="Grille">
    <w:name w:val="Table Grid"/>
    <w:basedOn w:val="TableauNormal"/>
    <w:uiPriority w:val="59"/>
    <w:rsid w:val="00573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2F366A"/>
    <w:pPr>
      <w:ind w:left="720"/>
      <w:contextualSpacing/>
    </w:pPr>
  </w:style>
  <w:style w:type="table" w:styleId="Grille">
    <w:name w:val="Table Grid"/>
    <w:basedOn w:val="TableauNormal"/>
    <w:uiPriority w:val="59"/>
    <w:rsid w:val="00573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5844</Characters>
  <Application>Microsoft Macintosh Word</Application>
  <DocSecurity>0</DocSecurity>
  <Lines>48</Lines>
  <Paragraphs>13</Paragraphs>
  <ScaleCrop>false</ScaleCrop>
  <Company>Alsace Cinémas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2</cp:revision>
  <cp:lastPrinted>2021-07-22T07:54:00Z</cp:lastPrinted>
  <dcterms:created xsi:type="dcterms:W3CDTF">2025-07-28T09:39:00Z</dcterms:created>
  <dcterms:modified xsi:type="dcterms:W3CDTF">2025-07-28T09:39:00Z</dcterms:modified>
</cp:coreProperties>
</file>