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1CB1991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3E5605E6" w14:textId="6C8FC80E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CON</w:t>
      </w:r>
      <w:r>
        <w:rPr>
          <w:rFonts w:asciiTheme="majorHAnsi" w:hAnsiTheme="majorHAnsi"/>
          <w:b/>
        </w:rPr>
        <w:t xml:space="preserve">VEN</w:t>
      </w:r>
      <w:r>
        <w:rPr>
          <w:rFonts w:asciiTheme="majorHAnsi" w:hAnsiTheme="majorHAnsi"/>
          <w:b/>
        </w:rPr>
        <w:t xml:space="preserve">T</w:t>
      </w:r>
      <w:r>
        <w:rPr>
          <w:rFonts w:asciiTheme="majorHAnsi" w:hAnsiTheme="majorHAnsi"/>
          <w:b/>
        </w:rPr>
        <w:t xml:space="preserve">ION</w:t>
      </w:r>
      <w:r>
        <w:rPr>
          <w:rFonts w:asciiTheme="majorHAnsi" w:hAnsiTheme="majorHAnsi"/>
          <w:b/>
        </w:rPr>
        <w:t xml:space="preserve"> D’EMPRUNT </w:t>
      </w:r>
      <w:r>
        <w:rPr>
          <w:rFonts w:asciiTheme="majorHAnsi" w:hAnsiTheme="majorHAnsi"/>
          <w:b/>
        </w:rPr>
        <w:t xml:space="preserve">DE LA </w:t>
      </w:r>
      <w:r>
        <w:rPr>
          <w:rFonts w:asciiTheme="majorHAnsi" w:hAnsiTheme="majorHAnsi"/>
          <w:b/>
        </w:rPr>
        <w:t xml:space="preserve">MALLE PRÉ-CINÉ</w:t>
      </w:r>
      <w:r>
        <w:rPr>
          <w:rFonts w:asciiTheme="majorHAnsi" w:hAnsiTheme="majorHAnsi"/>
          <w:b/>
        </w:rPr>
        <w:t xml:space="preserve">MA</w:t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57A0973B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70940BBA" w14:textId="77777777">
      <w:pPr>
        <w:pBdr/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200B1581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ENTRE LES SOUSSIGNÉS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62513EE9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Le RECIT,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087A489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Association Loi 1901</w:t>
      </w:r>
      <w:r>
        <w:rPr>
          <w:rFonts w:asciiTheme="majorHAnsi" w:hAnsiTheme="majorHAnsi"/>
          <w:sz w:val="22"/>
          <w:szCs w:val="22"/>
          <w:highlight w:val="none"/>
        </w:rPr>
        <w:t xml:space="preserve">,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1D6567E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Domiciliée à la Maison de l’image, au 31 rue Kageneck à Strasbourg (67000),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48EA2E0">
      <w:pPr>
        <w:pStyle w:val="1166"/>
        <w:pBdr/>
        <w:spacing w:after="120"/>
        <w:ind w:right="290"/>
        <w:contextualSpacing w:val="true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N° Siret : 43960312700036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5F8E8C7D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Assuré par la MAIF n°3644909B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C2FBFFB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Représentée par sa Présidente, Madame Laura Cassarino,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C8F96AD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Ci-après dénommée « le RECIT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F3B85D3">
      <w:pPr>
        <w:pStyle w:val="1166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D’une part,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C6268C6">
      <w:pPr>
        <w:pStyle w:val="1166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97E98BD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ET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9EBACF8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4378EBC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Nom de la structure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661DD19F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none"/>
        </w:rPr>
        <w:t xml:space="preserve">SIRET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02392982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white"/>
        </w:rPr>
      </w:pPr>
      <w:r>
        <w:rPr>
          <w:rFonts w:asciiTheme="majorHAnsi" w:hAnsiTheme="majorHAnsi"/>
          <w:sz w:val="22"/>
          <w:szCs w:val="22"/>
          <w:highlight w:val="white"/>
        </w:rPr>
        <w:t xml:space="preserve">Assuré par : </w:t>
      </w:r>
      <w:r>
        <w:rPr>
          <w:rFonts w:asciiTheme="majorHAnsi" w:hAnsiTheme="majorHAnsi"/>
          <w:sz w:val="22"/>
          <w:szCs w:val="22"/>
          <w:highlight w:val="white"/>
        </w:rPr>
      </w:r>
      <w:r>
        <w:rPr>
          <w:rFonts w:asciiTheme="majorHAnsi" w:hAnsiTheme="majorHAnsi"/>
          <w:sz w:val="22"/>
          <w:szCs w:val="22"/>
          <w:highlight w:val="white"/>
        </w:rPr>
      </w:r>
    </w:p>
    <w:p w14:paraId="4A180D04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Domiciliée au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071456D0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Représentée par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3AD076C3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Ci-après dénommée « l’UTILISATEUR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AD90D8F">
      <w:pPr>
        <w:pStyle w:val="1166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</w:rPr>
      </w:r>
      <w:r>
        <w:rPr>
          <w:rFonts w:asciiTheme="majorHAnsi" w:hAnsiTheme="majorHAnsi"/>
          <w:b/>
          <w:bCs/>
          <w:sz w:val="22"/>
          <w:szCs w:val="22"/>
        </w:rPr>
      </w:r>
    </w:p>
    <w:p w14:paraId="24297701">
      <w:pPr>
        <w:pStyle w:val="1166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  <w:highlight w:val="none"/>
        </w:rPr>
      </w:pPr>
      <w:r>
        <w:rPr>
          <w:rFonts w:asciiTheme="majorHAnsi" w:hAnsiTheme="majorHAnsi"/>
          <w:b/>
          <w:sz w:val="22"/>
          <w:szCs w:val="22"/>
        </w:rPr>
        <w:t xml:space="preserve">D’autre part.</w:t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</w:p>
    <w:p w14:paraId="20A836A0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« Le RECIT» et « l’UTILISATEUR », étant ci-après individuellement dénommées « la Partie » ou collectivement « les Parties ».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DAE9430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AF301C8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5BB8706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ETANT PRÉALABLEMENT EXPOSÉ CE QUI SUIT </w:t>
      </w:r>
      <w:r>
        <w:rPr>
          <w:rFonts w:asciiTheme="majorHAnsi" w:hAnsiTheme="majorHAnsi"/>
          <w:b/>
          <w:sz w:val="22"/>
          <w:szCs w:val="22"/>
        </w:rPr>
        <w:t xml:space="preserve">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93FF2E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558ed5" w:themeColor="text2" w:themeTint="99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En sa qualité de pôle régional d’éducation aux images, le RECIT est missionné par le ministère de la Culture (CNC, DRAC Grand Est) pour mettre à disposition du matériel audiovisuel et des outils ludiques auprès des structures souhaitant développe</w:t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r des projets d’éducation aux images auprès de leurs publics.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F7AFAA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Le RECIT a donc développé un centre de ressources varié, empruntable gratuitement par les structures, afin d’accompagner et d’enrichir leur travail autour du cinéma, de l’image et du son.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Ce matériel est destiné aux professionnel·les des secteurs associatifs, éducatifs, sociaux médico-sociaux, artistiques ou culturels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Le RECIT est à l’écoute de leurs besoins et envies.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</w:p>
    <w:p w14:paraId="7C10A38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 demande d’emprunt de matériel est validée en fonction de sa disponibilité et à la condition qu’une personne de la structure emprunteuse ait suivi un temps de formation préalable proposé par le RECIT. 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02B7010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</w:p>
    <w:p w14:paraId="168F2EFA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Au sein de son parc de matériel,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le RECIT met à disposition gratuitement deux</w:t>
      </w:r>
      <w:r>
        <w:rPr>
          <w:rFonts w:asciiTheme="majorHAnsi" w:hAnsiTheme="majorHAnsi"/>
          <w:sz w:val="22"/>
          <w:szCs w:val="22"/>
        </w:rPr>
        <w:t xml:space="preserve"> malles pré-cinéma ; une est empruntable via le cinéma Bel Air à Mulhouse et l’autre est empruntable à la Maison de l’image à Strasbourg.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56CA4976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</w:rPr>
      </w:r>
    </w:p>
    <w:p w14:paraId="1B0A7AE3" w14:textId="210AE8FA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CECI AYANT ÉTÉ RAPPELÉ, IL A ÉTÉ CONVENU ET ARRÊTÉ</w:t>
      </w:r>
      <w:r>
        <w:rPr>
          <w:rFonts w:asciiTheme="majorHAnsi" w:hAnsiTheme="majorHAnsi"/>
          <w:b/>
          <w:sz w:val="22"/>
          <w:szCs w:val="22"/>
          <w:u w:val="single"/>
        </w:rPr>
        <w:t xml:space="preserve"> CE QUI SUIT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57A7A0C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670597F1" w14:textId="3F53482A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1 : </w:t>
      </w:r>
      <w:r>
        <w:rPr>
          <w:rFonts w:asciiTheme="majorHAnsi" w:hAnsiTheme="majorHAnsi"/>
          <w:b/>
          <w:sz w:val="22"/>
          <w:szCs w:val="22"/>
        </w:rPr>
        <w:t xml:space="preserve">OBJET DE LA CONVENTION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645375A3" w14:textId="14FDF858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a pour objet de définir les conditions dans lesquelles l’UTILISATEUR est autorisé à utiliser le matérie</w:t>
      </w:r>
      <w:r>
        <w:rPr>
          <w:rFonts w:asciiTheme="majorHAnsi" w:hAnsiTheme="majorHAnsi"/>
          <w:sz w:val="22"/>
          <w:szCs w:val="22"/>
        </w:rPr>
        <w:t xml:space="preserve">l constitutif </w:t>
      </w:r>
      <w:r>
        <w:rPr>
          <w:rFonts w:asciiTheme="majorHAnsi" w:hAnsiTheme="majorHAnsi"/>
          <w:sz w:val="22"/>
          <w:szCs w:val="22"/>
        </w:rPr>
        <w:t xml:space="preserve">de la </w:t>
      </w:r>
      <w:r>
        <w:rPr>
          <w:rFonts w:cs="Helvetica" w:asciiTheme="majorHAnsi" w:hAnsiTheme="majorHAnsi"/>
          <w:sz w:val="22"/>
          <w:szCs w:val="22"/>
        </w:rPr>
        <w:t xml:space="preserve">Malle Pré-Cinéma</w:t>
      </w:r>
      <w:r>
        <w:rPr>
          <w:rFonts w:cs="Helvetica" w:asciiTheme="majorHAnsi" w:hAnsiTheme="majorHAnsi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tel que </w:t>
      </w: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is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é à l’Arti</w:t>
      </w:r>
      <w:r>
        <w:rPr>
          <w:rFonts w:asciiTheme="majorHAnsi" w:hAnsiTheme="majorHAnsi"/>
          <w:sz w:val="22"/>
          <w:szCs w:val="22"/>
        </w:rPr>
        <w:t xml:space="preserve">cle 2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FF7096E" w14:textId="4EBFF5AD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La conclusion de ce</w:t>
      </w:r>
      <w:r>
        <w:rPr>
          <w:rFonts w:asciiTheme="majorHAnsi" w:hAnsiTheme="majorHAnsi"/>
          <w:sz w:val="22"/>
          <w:szCs w:val="22"/>
        </w:rPr>
        <w:t xml:space="preserve">tte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C</w:t>
      </w:r>
      <w:r>
        <w:rPr>
          <w:rFonts w:asciiTheme="majorHAnsi" w:hAnsiTheme="majorHAnsi"/>
          <w:sz w:val="22"/>
          <w:szCs w:val="22"/>
        </w:rPr>
        <w:t xml:space="preserve">on</w:t>
      </w:r>
      <w:r>
        <w:rPr>
          <w:rFonts w:asciiTheme="majorHAnsi" w:hAnsiTheme="majorHAnsi"/>
          <w:sz w:val="22"/>
          <w:szCs w:val="22"/>
        </w:rPr>
        <w:t xml:space="preserve">vention</w:t>
      </w:r>
      <w:r>
        <w:rPr>
          <w:rFonts w:asciiTheme="majorHAnsi" w:hAnsiTheme="majorHAnsi"/>
          <w:sz w:val="22"/>
          <w:szCs w:val="22"/>
        </w:rPr>
        <w:t xml:space="preserve"> entraîne l’acceptation des conditions d’utilisation de ce Matériel telles qu’elles figurent </w:t>
      </w:r>
      <w:r>
        <w:rPr>
          <w:rFonts w:asciiTheme="majorHAnsi" w:hAnsiTheme="majorHAnsi"/>
          <w:sz w:val="22"/>
          <w:szCs w:val="22"/>
        </w:rPr>
        <w:t xml:space="preserve">dans l’article 3.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E09DF40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169EBF6" w14:textId="0537B840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2 : </w:t>
      </w:r>
      <w:r>
        <w:rPr>
          <w:rFonts w:asciiTheme="majorHAnsi" w:hAnsiTheme="majorHAnsi"/>
          <w:b/>
          <w:sz w:val="22"/>
          <w:szCs w:val="22"/>
        </w:rPr>
        <w:t xml:space="preserve">MISE À DISPOSITION DU MATÉRIEL</w:t>
      </w:r>
      <w:r>
        <w:rPr>
          <w:rFonts w:asciiTheme="majorHAnsi" w:hAnsiTheme="majorHAnsi"/>
          <w:b/>
          <w:sz w:val="22"/>
          <w:szCs w:val="22"/>
        </w:rPr>
        <w:t xml:space="preserve"> ET DURÉ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C997AB7" w14:textId="57DFCF66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autorise la mise à disposition du matériel suivant</w:t>
      </w:r>
      <w:r>
        <w:rPr>
          <w:rFonts w:asciiTheme="majorHAnsi" w:hAnsiTheme="majorHAnsi"/>
          <w:sz w:val="22"/>
          <w:szCs w:val="22"/>
        </w:rPr>
        <w:t xml:space="preserve"> pour une durée de 2 semaines</w:t>
      </w:r>
      <w:r>
        <w:rPr>
          <w:rFonts w:asciiTheme="majorHAnsi" w:hAnsiTheme="majorHAnsi"/>
          <w:sz w:val="22"/>
          <w:szCs w:val="22"/>
        </w:rPr>
        <w:t xml:space="preserve"> maximum</w:t>
      </w:r>
      <w:r>
        <w:rPr>
          <w:rFonts w:asciiTheme="majorHAnsi" w:hAnsiTheme="majorHAnsi"/>
          <w:sz w:val="22"/>
          <w:szCs w:val="22"/>
        </w:rPr>
        <w:t xml:space="preserve"> 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922187E" w14:textId="09E83DF7">
      <w:pPr>
        <w:pStyle w:val="1166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1 boîte en carton </w:t>
      </w:r>
      <w:r>
        <w:rPr>
          <w:rFonts w:asciiTheme="majorHAnsi" w:hAnsiTheme="majorHAnsi"/>
          <w:sz w:val="22"/>
          <w:szCs w:val="22"/>
        </w:rPr>
        <w:t xml:space="preserve">(L et l : 41,5 cm, H : 31 cm) </w:t>
      </w:r>
      <w:r>
        <w:rPr>
          <w:rFonts w:asciiTheme="majorHAnsi" w:hAnsiTheme="majorHAnsi"/>
          <w:sz w:val="22"/>
          <w:szCs w:val="22"/>
        </w:rPr>
        <w:t xml:space="preserve">contenant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C125173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1 coffret de 10 </w:t>
      </w:r>
      <w:r>
        <w:rPr>
          <w:rFonts w:asciiTheme="majorHAnsi" w:hAnsiTheme="majorHAnsi"/>
          <w:sz w:val="22"/>
          <w:szCs w:val="22"/>
        </w:rPr>
        <w:t xml:space="preserve">thaumatropes</w:t>
      </w:r>
      <w:r>
        <w:rPr>
          <w:rFonts w:asciiTheme="majorHAnsi" w:hAnsiTheme="majorHAnsi"/>
          <w:sz w:val="22"/>
          <w:szCs w:val="22"/>
        </w:rPr>
        <w:t xml:space="preserve">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5CB5AAF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2 </w:t>
      </w:r>
      <w:r>
        <w:rPr>
          <w:rFonts w:asciiTheme="majorHAnsi" w:hAnsiTheme="majorHAnsi"/>
          <w:sz w:val="22"/>
          <w:szCs w:val="22"/>
        </w:rPr>
        <w:t xml:space="preserve">folioscopes</w:t>
      </w:r>
      <w:r>
        <w:rPr>
          <w:rFonts w:asciiTheme="majorHAnsi" w:hAnsiTheme="majorHAnsi"/>
          <w:sz w:val="22"/>
          <w:szCs w:val="22"/>
        </w:rPr>
        <w:t xml:space="preserve"> (1 Tour Eiffel et 1 </w:t>
      </w:r>
      <w:r>
        <w:rPr>
          <w:rFonts w:asciiTheme="majorHAnsi" w:hAnsiTheme="majorHAnsi"/>
          <w:sz w:val="22"/>
          <w:szCs w:val="22"/>
        </w:rPr>
        <w:t xml:space="preserve">Sweet</w:t>
      </w:r>
      <w:r>
        <w:rPr>
          <w:rFonts w:asciiTheme="majorHAnsi" w:hAnsiTheme="majorHAnsi"/>
          <w:sz w:val="22"/>
          <w:szCs w:val="22"/>
        </w:rPr>
        <w:t xml:space="preserve"> Home)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5629E00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phénakistiscope</w:t>
      </w:r>
      <w:r>
        <w:rPr>
          <w:rFonts w:asciiTheme="majorHAnsi" w:hAnsiTheme="majorHAnsi"/>
          <w:sz w:val="22"/>
          <w:szCs w:val="22"/>
        </w:rPr>
        <w:t xml:space="preserve"> (diamètre : 25 cm)</w:t>
      </w:r>
      <w:r>
        <w:rPr>
          <w:rFonts w:asciiTheme="majorHAnsi" w:hAnsiTheme="majorHAnsi"/>
          <w:sz w:val="22"/>
          <w:szCs w:val="22"/>
        </w:rPr>
        <w:t xml:space="preserve">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3544935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miroir pour le phénakistiscope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3893C9D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zootrope </w:t>
      </w:r>
      <w:r>
        <w:rPr>
          <w:rFonts w:asciiTheme="majorHAnsi" w:hAnsiTheme="majorHAnsi"/>
          <w:sz w:val="22"/>
          <w:szCs w:val="22"/>
        </w:rPr>
        <w:t xml:space="preserve">(diamètre : 22 cm) </w:t>
      </w:r>
      <w:r>
        <w:rPr>
          <w:rFonts w:asciiTheme="majorHAnsi" w:hAnsiTheme="majorHAnsi"/>
          <w:sz w:val="22"/>
          <w:szCs w:val="22"/>
        </w:rPr>
        <w:t xml:space="preserve">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2E71C03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cs="Apple Symbols"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cs="Apple Symbols" w:asciiTheme="majorHAnsi" w:hAnsiTheme="majorHAnsi"/>
          <w:sz w:val="22"/>
          <w:szCs w:val="22"/>
        </w:rPr>
        <w:tab/>
        <w:t xml:space="preserve">1 praxinoscope</w:t>
      </w:r>
      <w:r>
        <w:rPr>
          <w:rFonts w:cs="Apple Symbols" w:asciiTheme="majorHAnsi" w:hAnsiTheme="majorHAnsi"/>
          <w:sz w:val="22"/>
          <w:szCs w:val="22"/>
        </w:rPr>
        <w:t xml:space="preserve"> (hauteur 16 cm ; diamètre : 22 cm)</w:t>
      </w:r>
      <w:r>
        <w:rPr>
          <w:rFonts w:cs="Apple Symbols" w:asciiTheme="majorHAnsi" w:hAnsiTheme="majorHAnsi"/>
          <w:sz w:val="22"/>
          <w:szCs w:val="22"/>
        </w:rPr>
        <w:t xml:space="preserve"> ; </w:t>
      </w:r>
      <w:r>
        <w:rPr>
          <w:rFonts w:cs="Apple Symbols" w:asciiTheme="majorHAnsi" w:hAnsiTheme="majorHAnsi"/>
          <w:sz w:val="22"/>
          <w:szCs w:val="22"/>
        </w:rPr>
      </w:r>
      <w:r>
        <w:rPr>
          <w:rFonts w:cs="Apple Symbols" w:asciiTheme="majorHAnsi" w:hAnsiTheme="majorHAnsi"/>
          <w:sz w:val="22"/>
          <w:szCs w:val="22"/>
        </w:rPr>
      </w:r>
    </w:p>
    <w:p w14:paraId="572A9C25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cs="Apple Symbols"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="Apple Symbols" w:hAnsi="Apple Symbols" w:cs="Apple Symbols"/>
          <w:sz w:val="22"/>
          <w:szCs w:val="22"/>
        </w:rPr>
        <w:tab/>
      </w:r>
      <w:r>
        <w:rPr>
          <w:rFonts w:cs="Apple Symbols" w:asciiTheme="majorHAnsi" w:hAnsiTheme="majorHAnsi"/>
          <w:sz w:val="22"/>
          <w:szCs w:val="22"/>
        </w:rPr>
        <w:t xml:space="preserve">2 bandes de praxinoscope</w:t>
      </w:r>
      <w:r>
        <w:rPr>
          <w:rFonts w:cs="Apple Symbols" w:asciiTheme="majorHAnsi" w:hAnsiTheme="majorHAnsi"/>
          <w:sz w:val="22"/>
          <w:szCs w:val="22"/>
        </w:rPr>
        <w:t xml:space="preserve"> (63,3 cm de longueur) ;</w:t>
      </w:r>
      <w:r>
        <w:rPr>
          <w:rFonts w:cs="Apple Symbols" w:asciiTheme="majorHAnsi" w:hAnsiTheme="majorHAnsi"/>
          <w:sz w:val="22"/>
          <w:szCs w:val="22"/>
        </w:rPr>
      </w:r>
      <w:r>
        <w:rPr>
          <w:rFonts w:cs="Apple Symbols" w:asciiTheme="majorHAnsi" w:hAnsiTheme="majorHAnsi"/>
          <w:sz w:val="22"/>
          <w:szCs w:val="22"/>
        </w:rPr>
      </w:r>
    </w:p>
    <w:p w14:paraId="18B5175A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14 affiches présentant les objets et les ateliers possibles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64D9E5A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pot de confiture à facettes pour l’atelier Fabrication d’un mini-praxinoscope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E0D240F" w14:textId="21A7281F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des morceaux de pellicules</w:t>
      </w:r>
      <w:r>
        <w:rPr>
          <w:rFonts w:asciiTheme="majorHAnsi" w:hAnsiTheme="majorHAnsi"/>
          <w:sz w:val="22"/>
          <w:szCs w:val="22"/>
        </w:rPr>
        <w:t xml:space="preserve"> 35mm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4BAE10A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DF2EC4C" w14:textId="197CD1E8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Pour les besoins suivants :</w:t>
      </w: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7B9E911F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Nature de l’événement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0D324E59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Date(s) de location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5DF45804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  <w:u w:val="single"/>
        </w:rPr>
        <w:t xml:space="preserve">Date et heure</w:t>
      </w:r>
      <w:r>
        <w:rPr>
          <w:rFonts w:asciiTheme="majorHAnsi" w:hAnsiTheme="majorHAnsi"/>
          <w:sz w:val="22"/>
          <w:szCs w:val="22"/>
          <w:highlight w:val="yellow"/>
        </w:rPr>
        <w:t xml:space="preserve"> </w:t>
      </w:r>
      <w:r>
        <w:rPr>
          <w:rFonts w:asciiTheme="majorHAnsi" w:hAnsiTheme="majorHAnsi"/>
          <w:sz w:val="22"/>
          <w:szCs w:val="22"/>
          <w:highlight w:val="yellow"/>
        </w:rPr>
        <w:t xml:space="preserve">de l’enlèvement :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0202A3FF" w14:textId="01E16753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  <w:u w:val="single"/>
        </w:rPr>
        <w:t xml:space="preserve">Date </w:t>
      </w:r>
      <w:r>
        <w:rPr>
          <w:rFonts w:asciiTheme="majorHAnsi" w:hAnsiTheme="majorHAnsi"/>
          <w:sz w:val="22"/>
          <w:szCs w:val="22"/>
          <w:highlight w:val="yellow"/>
          <w:u w:val="single"/>
        </w:rPr>
        <w:t xml:space="preserve">et heure</w:t>
      </w:r>
      <w:r>
        <w:rPr>
          <w:rFonts w:asciiTheme="majorHAnsi" w:hAnsiTheme="majorHAnsi"/>
          <w:sz w:val="22"/>
          <w:szCs w:val="22"/>
          <w:highlight w:val="yellow"/>
        </w:rPr>
        <w:t xml:space="preserve">  </w:t>
      </w:r>
      <w:r>
        <w:rPr>
          <w:rFonts w:asciiTheme="majorHAnsi" w:hAnsiTheme="majorHAnsi"/>
          <w:sz w:val="22"/>
          <w:szCs w:val="22"/>
          <w:highlight w:val="yellow"/>
        </w:rPr>
        <w:t xml:space="preserve">de retour 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05803D1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2AA4434" w14:textId="19F81AEE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Sauf cas particulier qui sera</w:t>
      </w:r>
      <w:r>
        <w:rPr>
          <w:rFonts w:asciiTheme="majorHAnsi" w:hAnsiTheme="majorHAnsi"/>
          <w:sz w:val="22"/>
          <w:szCs w:val="22"/>
        </w:rPr>
        <w:t xml:space="preserve"> notifié à l’UTILISATEUR avant le début de l’évènement, l’enlèvement et le retour du Matériel se </w:t>
      </w:r>
      <w:r>
        <w:rPr>
          <w:rFonts w:asciiTheme="majorHAnsi" w:hAnsiTheme="majorHAnsi"/>
          <w:sz w:val="22"/>
          <w:szCs w:val="22"/>
        </w:rPr>
        <w:t xml:space="preserve">font</w:t>
      </w:r>
      <w:r>
        <w:rPr>
          <w:rFonts w:asciiTheme="majorHAnsi" w:hAnsiTheme="majorHAnsi"/>
          <w:sz w:val="22"/>
          <w:szCs w:val="22"/>
        </w:rPr>
        <w:t xml:space="preserve"> impérativem</w:t>
      </w:r>
      <w:r>
        <w:rPr>
          <w:rFonts w:asciiTheme="majorHAnsi" w:hAnsiTheme="majorHAnsi"/>
          <w:sz w:val="22"/>
          <w:szCs w:val="22"/>
        </w:rPr>
        <w:t xml:space="preserve">ent depuis et vers les locaux du</w:t>
      </w:r>
      <w:r>
        <w:rPr>
          <w:rFonts w:asciiTheme="majorHAnsi" w:hAnsiTheme="majorHAnsi"/>
          <w:sz w:val="22"/>
          <w:szCs w:val="22"/>
        </w:rPr>
        <w:t xml:space="preserve"> RECIT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5F2805D" w14:textId="7C89544C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cs="Helvetica" w:asciiTheme="majorHAnsi" w:hAnsiTheme="majorHAnsi"/>
          <w:sz w:val="22"/>
          <w:szCs w:val="22"/>
        </w:rPr>
        <w:t xml:space="preserve">Si des arrangements particuliers sont trouvés entre les structures qui empruntent la mallette sur des périodes consécutives, ces dernières sont priées de faire valider au préalable par </w:t>
      </w:r>
      <w:r>
        <w:rPr>
          <w:rFonts w:cs="Helvetica" w:asciiTheme="majorHAnsi" w:hAnsiTheme="majorHAnsi"/>
          <w:sz w:val="22"/>
          <w:szCs w:val="22"/>
        </w:rPr>
        <w:t xml:space="preserve">l</w:t>
      </w:r>
      <w:r>
        <w:rPr>
          <w:rFonts w:cs="Helvetica" w:asciiTheme="majorHAnsi" w:hAnsiTheme="majorHAnsi"/>
          <w:sz w:val="22"/>
          <w:szCs w:val="22"/>
        </w:rPr>
        <w:t xml:space="preserve">e RECIT</w:t>
      </w:r>
      <w:r>
        <w:rPr>
          <w:rFonts w:cs="Helvetica" w:asciiTheme="majorHAnsi" w:hAnsiTheme="majorHAnsi"/>
          <w:sz w:val="22"/>
          <w:szCs w:val="22"/>
        </w:rPr>
        <w:t xml:space="preserve"> les mouvements du matériel. Les deux utilisateurs concernés devront procéder ensemble à la vérification de l</w:t>
      </w:r>
      <w:r>
        <w:rPr>
          <w:rFonts w:cs="Helvetica" w:asciiTheme="majorHAnsi" w:hAnsiTheme="majorHAnsi"/>
          <w:sz w:val="22"/>
          <w:szCs w:val="22"/>
        </w:rPr>
        <w:t xml:space="preserve">’état du matériel et signaler au </w:t>
      </w:r>
      <w:r>
        <w:rPr>
          <w:rFonts w:cs="Helvetica" w:asciiTheme="majorHAnsi" w:hAnsiTheme="majorHAnsi"/>
          <w:sz w:val="22"/>
          <w:szCs w:val="22"/>
        </w:rPr>
        <w:t xml:space="preserve">RECIT</w:t>
      </w:r>
      <w:r>
        <w:rPr>
          <w:rFonts w:cs="Helvetica" w:asciiTheme="majorHAnsi" w:hAnsiTheme="majorHAnsi"/>
          <w:sz w:val="22"/>
          <w:szCs w:val="22"/>
        </w:rPr>
        <w:t xml:space="preserve"> toute irrégularité.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B34FF12" w14:textId="342F56C7">
      <w:pPr>
        <w:pStyle w:val="1166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Toute cession de la présente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à un tiers est formellement interdite.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BC65718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F269E9A" w14:textId="77777777">
      <w:pPr>
        <w:pStyle w:val="1166"/>
        <w:pBdr/>
        <w:spacing/>
        <w:ind w:right="289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3 : UTILISATION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DD9354D" w14:textId="000F32BD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cs="Helvetica" w:asciiTheme="majorHAnsi" w:hAnsiTheme="majorHAnsi"/>
          <w:sz w:val="22"/>
          <w:szCs w:val="22"/>
        </w:rPr>
        <w:t xml:space="preserve">La Ma</w:t>
      </w:r>
      <w:r>
        <w:rPr>
          <w:rFonts w:cs="Helvetica" w:asciiTheme="majorHAnsi" w:hAnsiTheme="majorHAnsi"/>
          <w:sz w:val="22"/>
          <w:szCs w:val="22"/>
        </w:rPr>
        <w:t xml:space="preserve">lle Pré-Cinéma est le bien du</w:t>
      </w:r>
      <w:r>
        <w:rPr>
          <w:rFonts w:cs="Helvetica" w:asciiTheme="majorHAnsi" w:hAnsiTheme="majorHAnsi"/>
          <w:sz w:val="22"/>
          <w:szCs w:val="22"/>
        </w:rPr>
        <w:t xml:space="preserve"> RECIT</w:t>
      </w:r>
      <w:r>
        <w:rPr>
          <w:rFonts w:cs="Helvetica" w:asciiTheme="majorHAnsi" w:hAnsiTheme="majorHAnsi"/>
          <w:sz w:val="22"/>
          <w:szCs w:val="22"/>
        </w:rPr>
        <w:t xml:space="preserve">. Elle ne peut être manipulée que par des encadrants ayant suivi la formation spécifique</w:t>
      </w:r>
      <w:r>
        <w:rPr>
          <w:rFonts w:cs="Helvetica" w:asciiTheme="majorHAnsi" w:hAnsiTheme="majorHAnsi"/>
          <w:sz w:val="22"/>
          <w:szCs w:val="22"/>
        </w:rPr>
        <w:t xml:space="preserve"> </w:t>
      </w:r>
      <w:r>
        <w:rPr>
          <w:rFonts w:cs="Helvetica" w:asciiTheme="majorHAnsi" w:hAnsiTheme="majorHAnsi"/>
          <w:color w:val="auto"/>
          <w:sz w:val="22"/>
          <w:szCs w:val="22"/>
        </w:rPr>
        <w:t xml:space="preserve">organisée par </w:t>
      </w:r>
      <w:r>
        <w:rPr>
          <w:rFonts w:cs="Helvetica" w:asciiTheme="majorHAnsi" w:hAnsiTheme="majorHAnsi"/>
          <w:color w:val="auto"/>
          <w:sz w:val="22"/>
          <w:szCs w:val="22"/>
        </w:rPr>
        <w:t xml:space="preserve">Le RECIT</w:t>
      </w:r>
      <w:r>
        <w:rPr>
          <w:rFonts w:cs="Helvetica" w:asciiTheme="majorHAnsi" w:hAnsiTheme="majorHAnsi"/>
          <w:sz w:val="22"/>
          <w:szCs w:val="22"/>
        </w:rPr>
        <w:t xml:space="preserve">. La structure utilisatrice s’engage à faire respecter cette clause au sein de son personnel.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L’UTILISATEUR restera garant vis-à</w:t>
      </w:r>
      <w:r>
        <w:rPr>
          <w:rFonts w:asciiTheme="majorHAnsi" w:hAnsiTheme="majorHAnsi"/>
          <w:sz w:val="22"/>
          <w:szCs w:val="22"/>
        </w:rPr>
        <w:t xml:space="preserve">-</w:t>
      </w:r>
      <w:r>
        <w:rPr>
          <w:rFonts w:asciiTheme="majorHAnsi" w:hAnsiTheme="majorHAnsi"/>
          <w:sz w:val="22"/>
          <w:szCs w:val="22"/>
        </w:rPr>
        <w:t xml:space="preserve">vis du</w:t>
      </w:r>
      <w:r>
        <w:rPr>
          <w:rFonts w:asciiTheme="majorHAnsi" w:hAnsiTheme="majorHAnsi"/>
          <w:sz w:val="22"/>
          <w:szCs w:val="22"/>
        </w:rPr>
        <w:t xml:space="preserve"> RECIT</w:t>
      </w:r>
      <w:r>
        <w:rPr>
          <w:rFonts w:asciiTheme="majorHAnsi" w:hAnsiTheme="majorHAnsi"/>
          <w:sz w:val="22"/>
          <w:szCs w:val="22"/>
        </w:rPr>
        <w:t xml:space="preserve"> de la bonne utilisation du Matériel jusqu’à sa restitution.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2D4A06E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C9C565D" w14:textId="740AD423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4</w:t>
      </w:r>
      <w:r>
        <w:rPr>
          <w:rFonts w:asciiTheme="majorHAnsi" w:hAnsiTheme="majorHAnsi"/>
          <w:b/>
          <w:sz w:val="22"/>
          <w:szCs w:val="22"/>
        </w:rPr>
        <w:t xml:space="preserve"> : PRIX ET GARANTIES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95633D9" w14:textId="61DC67D5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L’emprunt de la Malle Pré-Cinéma est gratuit.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25739BC" w14:textId="1EDB9C56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Un état </w:t>
      </w:r>
      <w:r>
        <w:rPr>
          <w:rFonts w:asciiTheme="majorHAnsi" w:hAnsiTheme="majorHAnsi"/>
          <w:b/>
          <w:sz w:val="22"/>
          <w:szCs w:val="22"/>
        </w:rPr>
        <w:t xml:space="preserve">du matériel</w:t>
      </w:r>
      <w:r>
        <w:rPr>
          <w:rFonts w:asciiTheme="majorHAnsi" w:hAnsiTheme="majorHAnsi"/>
          <w:b/>
          <w:sz w:val="22"/>
          <w:szCs w:val="22"/>
        </w:rPr>
        <w:t xml:space="preserve"> établi au moment de l’enlèvement du Matériel est joi</w:t>
      </w:r>
      <w:r>
        <w:rPr>
          <w:rFonts w:asciiTheme="majorHAnsi" w:hAnsiTheme="majorHAnsi"/>
          <w:b/>
          <w:sz w:val="22"/>
          <w:szCs w:val="22"/>
        </w:rPr>
        <w:t xml:space="preserve">nt en annexe </w:t>
      </w:r>
      <w:r>
        <w:rPr>
          <w:rFonts w:asciiTheme="majorHAnsi" w:hAnsiTheme="majorHAnsi"/>
          <w:b/>
          <w:sz w:val="22"/>
          <w:szCs w:val="22"/>
        </w:rPr>
        <w:t xml:space="preserve">2 </w:t>
      </w:r>
      <w:r>
        <w:rPr>
          <w:rFonts w:asciiTheme="majorHAnsi" w:hAnsiTheme="majorHAnsi"/>
          <w:b/>
          <w:sz w:val="22"/>
          <w:szCs w:val="22"/>
        </w:rPr>
        <w:t xml:space="preserve">d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la </w:t>
      </w:r>
      <w:r>
        <w:rPr>
          <w:rFonts w:asciiTheme="majorHAnsi" w:hAnsiTheme="majorHAnsi"/>
          <w:b/>
          <w:sz w:val="22"/>
          <w:szCs w:val="22"/>
        </w:rPr>
        <w:t xml:space="preserve">présent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Con</w:t>
      </w:r>
      <w:r>
        <w:rPr>
          <w:rFonts w:asciiTheme="majorHAnsi" w:hAnsiTheme="majorHAnsi"/>
          <w:b/>
          <w:sz w:val="22"/>
          <w:szCs w:val="22"/>
        </w:rPr>
        <w:t xml:space="preserve">ven</w:t>
      </w:r>
      <w:r>
        <w:rPr>
          <w:rFonts w:asciiTheme="majorHAnsi" w:hAnsiTheme="majorHAnsi"/>
          <w:b/>
          <w:sz w:val="22"/>
          <w:szCs w:val="22"/>
        </w:rPr>
        <w:t xml:space="preserve">t</w:t>
      </w:r>
      <w:r>
        <w:rPr>
          <w:rFonts w:asciiTheme="majorHAnsi" w:hAnsiTheme="majorHAnsi"/>
          <w:b/>
          <w:sz w:val="22"/>
          <w:szCs w:val="22"/>
        </w:rPr>
        <w:t xml:space="preserve">ion</w:t>
      </w:r>
      <w:r>
        <w:rPr>
          <w:rFonts w:asciiTheme="majorHAnsi" w:hAnsiTheme="majorHAnsi"/>
          <w:b/>
          <w:sz w:val="22"/>
          <w:szCs w:val="22"/>
        </w:rPr>
        <w:t xml:space="preserve">.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De même, un état du Matériel sera établi au moment de sa restitution.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674E826A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F9AF314" w14:textId="07B8B3F9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5</w:t>
      </w:r>
      <w:r>
        <w:rPr>
          <w:rFonts w:asciiTheme="majorHAnsi" w:hAnsiTheme="majorHAnsi"/>
          <w:b/>
          <w:sz w:val="22"/>
          <w:szCs w:val="22"/>
        </w:rPr>
        <w:t xml:space="preserve"> : </w:t>
      </w:r>
      <w:r>
        <w:rPr>
          <w:rFonts w:asciiTheme="majorHAnsi" w:hAnsiTheme="majorHAnsi"/>
          <w:b/>
          <w:sz w:val="22"/>
          <w:szCs w:val="22"/>
        </w:rPr>
        <w:t xml:space="preserve">RESPONSABILITÉ ET ASSURANCE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66C171E" w14:textId="31DDBA4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L’UTILISATEUR s’engage à assurer la Malle (dont la valeur est estimée à </w:t>
      </w:r>
      <w:r>
        <w:rPr>
          <w:rFonts w:asciiTheme="majorHAnsi" w:hAnsiTheme="majorHAnsi"/>
          <w:sz w:val="22"/>
          <w:szCs w:val="22"/>
        </w:rPr>
        <w:t xml:space="preserve">800</w:t>
      </w:r>
      <w:r>
        <w:rPr>
          <w:rFonts w:asciiTheme="majorHAnsi" w:hAnsiTheme="majorHAnsi"/>
          <w:sz w:val="22"/>
          <w:szCs w:val="22"/>
        </w:rPr>
        <w:t xml:space="preserve"> euros)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pendant</w:t>
      </w:r>
      <w:r>
        <w:rPr>
          <w:rFonts w:asciiTheme="majorHAnsi" w:hAnsiTheme="majorHAnsi"/>
          <w:sz w:val="22"/>
          <w:szCs w:val="22"/>
        </w:rPr>
        <w:t xml:space="preserve"> la période de prêt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auto"/>
          <w:sz w:val="22"/>
          <w:szCs w:val="22"/>
        </w:rPr>
        <w:t xml:space="preserve">transport inclus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En cas de sinistre, dégradation, perte ou vol de la Mallette, l</w:t>
      </w:r>
      <w:r>
        <w:rPr>
          <w:rFonts w:asciiTheme="majorHAnsi" w:hAnsiTheme="majorHAnsi"/>
          <w:sz w:val="22"/>
          <w:szCs w:val="22"/>
        </w:rPr>
        <w:t xml:space="preserve">’UTILISATEUR </w:t>
      </w:r>
      <w:r>
        <w:rPr>
          <w:rFonts w:asciiTheme="majorHAnsi" w:hAnsiTheme="majorHAnsi"/>
          <w:sz w:val="22"/>
          <w:szCs w:val="22"/>
        </w:rPr>
        <w:t xml:space="preserve">demeure entièrement responsable des dommages matériels </w:t>
      </w:r>
      <w:r>
        <w:rPr>
          <w:rFonts w:asciiTheme="majorHAnsi" w:hAnsiTheme="majorHAnsi"/>
          <w:sz w:val="22"/>
          <w:szCs w:val="22"/>
        </w:rPr>
        <w:t xml:space="preserve">causés</w:t>
      </w:r>
      <w:r>
        <w:rPr>
          <w:rFonts w:asciiTheme="majorHAnsi" w:hAnsiTheme="majorHAnsi"/>
          <w:sz w:val="22"/>
          <w:szCs w:val="22"/>
        </w:rPr>
        <w:t xml:space="preserve">, sans que la responsabilité </w:t>
      </w:r>
      <w:r>
        <w:rPr>
          <w:rFonts w:asciiTheme="majorHAnsi" w:hAnsiTheme="majorHAnsi"/>
          <w:sz w:val="22"/>
          <w:szCs w:val="22"/>
        </w:rPr>
        <w:t xml:space="preserve">du</w:t>
      </w:r>
      <w:r>
        <w:rPr>
          <w:rFonts w:asciiTheme="majorHAnsi" w:hAnsiTheme="majorHAnsi"/>
          <w:sz w:val="22"/>
          <w:szCs w:val="22"/>
        </w:rPr>
        <w:t xml:space="preserve"> RECIT</w:t>
      </w:r>
      <w:r>
        <w:rPr>
          <w:rFonts w:asciiTheme="majorHAnsi" w:hAnsiTheme="majorHAnsi"/>
          <w:sz w:val="22"/>
          <w:szCs w:val="22"/>
        </w:rPr>
        <w:t xml:space="preserve"> ne puisse être recherchée. </w:t>
      </w:r>
      <w:r>
        <w:rPr>
          <w:rFonts w:asciiTheme="majorHAnsi" w:hAnsiTheme="majorHAnsi"/>
          <w:sz w:val="22"/>
          <w:szCs w:val="22"/>
        </w:rPr>
        <w:t xml:space="preserve">L’UTILISATEUR devra alors rembourser la Malle ou l’Objet endommagé. </w:t>
      </w:r>
      <w:r>
        <w:rPr>
          <w:rFonts w:asciiTheme="majorHAnsi" w:hAnsiTheme="majorHAnsi"/>
          <w:sz w:val="22"/>
          <w:szCs w:val="22"/>
        </w:rPr>
        <w:t xml:space="preserve">Voir en annexe 1 la </w:t>
      </w:r>
      <w:r>
        <w:rPr>
          <w:rFonts w:asciiTheme="majorHAnsi" w:hAnsiTheme="majorHAnsi"/>
          <w:sz w:val="22"/>
          <w:szCs w:val="22"/>
        </w:rPr>
        <w:t xml:space="preserve">« </w:t>
      </w:r>
      <w:r>
        <w:rPr>
          <w:rFonts w:asciiTheme="majorHAnsi" w:hAnsiTheme="majorHAnsi"/>
          <w:sz w:val="22"/>
          <w:szCs w:val="22"/>
        </w:rPr>
        <w:t xml:space="preserve">police d’assurance</w:t>
      </w:r>
      <w:r>
        <w:rPr>
          <w:rFonts w:asciiTheme="majorHAnsi" w:hAnsiTheme="majorHAnsi"/>
          <w:sz w:val="22"/>
          <w:szCs w:val="22"/>
        </w:rPr>
        <w:t xml:space="preserve"> »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AE31B5F" w14:textId="3491FB7A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Il est entendu que tous dommages résultant d’une utilisation non conf</w:t>
      </w:r>
      <w:r>
        <w:rPr>
          <w:rFonts w:asciiTheme="majorHAnsi" w:hAnsiTheme="majorHAnsi"/>
          <w:sz w:val="22"/>
          <w:szCs w:val="22"/>
        </w:rPr>
        <w:t xml:space="preserve">orme du Matériel et non couverts par cette garantie pourront</w:t>
      </w:r>
      <w:r>
        <w:rPr>
          <w:rFonts w:asciiTheme="majorHAnsi" w:hAnsiTheme="majorHAnsi"/>
          <w:sz w:val="22"/>
          <w:szCs w:val="22"/>
        </w:rPr>
        <w:t xml:space="preserve"> entraîner la res</w:t>
      </w:r>
      <w:r>
        <w:rPr>
          <w:rFonts w:asciiTheme="majorHAnsi" w:hAnsiTheme="majorHAnsi"/>
          <w:sz w:val="22"/>
          <w:szCs w:val="22"/>
        </w:rPr>
        <w:t xml:space="preserve">ponsabilité de l’UTILISATEUR.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79A4D61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59E020D" w14:textId="60A613C1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6</w:t>
      </w:r>
      <w:r>
        <w:rPr>
          <w:rFonts w:asciiTheme="majorHAnsi" w:hAnsiTheme="majorHAnsi"/>
          <w:b/>
          <w:sz w:val="22"/>
          <w:szCs w:val="22"/>
        </w:rPr>
        <w:t xml:space="preserve"> :</w:t>
      </w:r>
      <w:r>
        <w:rPr>
          <w:rFonts w:asciiTheme="majorHAnsi" w:hAnsiTheme="majorHAnsi"/>
          <w:b/>
          <w:sz w:val="22"/>
          <w:szCs w:val="22"/>
        </w:rPr>
        <w:t xml:space="preserve"> DATE D’EFFET </w:t>
      </w:r>
      <w:r>
        <w:rPr>
          <w:rFonts w:asciiTheme="majorHAnsi" w:hAnsiTheme="majorHAnsi"/>
          <w:b/>
          <w:sz w:val="22"/>
          <w:szCs w:val="22"/>
        </w:rPr>
        <w:t xml:space="preserve">ET DURÉE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A3E85B5" w14:textId="515400FB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prend effet à compter de la date de </w:t>
      </w:r>
      <w:r>
        <w:rPr>
          <w:rFonts w:asciiTheme="majorHAnsi" w:hAnsiTheme="majorHAnsi"/>
          <w:sz w:val="22"/>
          <w:szCs w:val="22"/>
        </w:rPr>
        <w:t xml:space="preserve">début de prêt</w:t>
      </w:r>
      <w:r>
        <w:rPr>
          <w:rFonts w:asciiTheme="majorHAnsi" w:hAnsiTheme="majorHAnsi"/>
          <w:sz w:val="22"/>
          <w:szCs w:val="22"/>
        </w:rPr>
        <w:t xml:space="preserve">. La durée de l’emprunt est limitée à deux semaines maximum.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644DB86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474254E" w14:textId="5BD93257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7</w:t>
      </w:r>
      <w:r>
        <w:rPr>
          <w:rFonts w:asciiTheme="majorHAnsi" w:hAnsiTheme="majorHAnsi"/>
          <w:b/>
          <w:sz w:val="22"/>
          <w:szCs w:val="22"/>
        </w:rPr>
        <w:t xml:space="preserve"> : </w:t>
      </w:r>
      <w:r>
        <w:rPr>
          <w:rFonts w:asciiTheme="majorHAnsi" w:hAnsiTheme="majorHAnsi"/>
          <w:b/>
          <w:sz w:val="22"/>
          <w:szCs w:val="22"/>
        </w:rPr>
        <w:t xml:space="preserve">RÉSILIATION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78BBFC2" w14:textId="7A219A7E">
      <w:pPr>
        <w:pStyle w:val="1166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En cas d’inexécution </w:t>
      </w:r>
      <w:r>
        <w:rPr>
          <w:rFonts w:asciiTheme="majorHAnsi" w:hAnsiTheme="majorHAnsi"/>
          <w:sz w:val="22"/>
          <w:szCs w:val="22"/>
        </w:rPr>
        <w:t xml:space="preserve">par l’une ou l’autre des Parties </w:t>
      </w:r>
      <w:r>
        <w:rPr>
          <w:rFonts w:asciiTheme="majorHAnsi" w:hAnsiTheme="majorHAnsi"/>
          <w:sz w:val="22"/>
          <w:szCs w:val="22"/>
        </w:rPr>
        <w:t xml:space="preserve">de </w:t>
      </w:r>
      <w:r>
        <w:rPr>
          <w:rFonts w:asciiTheme="majorHAnsi" w:hAnsiTheme="majorHAnsi"/>
          <w:sz w:val="22"/>
          <w:szCs w:val="22"/>
        </w:rPr>
        <w:t xml:space="preserve">tout ou partie</w:t>
      </w:r>
      <w:r>
        <w:rPr>
          <w:rFonts w:asciiTheme="majorHAnsi" w:hAnsiTheme="majorHAnsi"/>
          <w:sz w:val="22"/>
          <w:szCs w:val="22"/>
        </w:rPr>
        <w:t xml:space="preserve"> des oblig</w:t>
      </w:r>
      <w:r>
        <w:rPr>
          <w:rFonts w:asciiTheme="majorHAnsi" w:hAnsiTheme="majorHAnsi"/>
          <w:sz w:val="22"/>
          <w:szCs w:val="22"/>
        </w:rPr>
        <w:t xml:space="preserve">ations prévues par 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celle</w:t>
      </w:r>
      <w:r>
        <w:rPr>
          <w:rFonts w:asciiTheme="majorHAnsi" w:hAnsiTheme="majorHAnsi"/>
          <w:sz w:val="22"/>
          <w:szCs w:val="22"/>
        </w:rPr>
        <w:t xml:space="preserve">-ci</w:t>
      </w:r>
      <w:r>
        <w:rPr>
          <w:rFonts w:asciiTheme="majorHAnsi" w:hAnsiTheme="majorHAnsi"/>
          <w:sz w:val="22"/>
          <w:szCs w:val="22"/>
        </w:rPr>
        <w:t xml:space="preserve"> sera résilié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de plein droit</w:t>
      </w:r>
      <w:r>
        <w:rPr>
          <w:rFonts w:asciiTheme="majorHAnsi" w:hAnsiTheme="majorHAnsi"/>
          <w:sz w:val="22"/>
          <w:szCs w:val="22"/>
        </w:rPr>
        <w:t xml:space="preserve"> aux </w:t>
      </w:r>
      <w:r>
        <w:rPr>
          <w:rFonts w:asciiTheme="majorHAnsi" w:hAnsiTheme="majorHAnsi"/>
          <w:sz w:val="22"/>
          <w:szCs w:val="22"/>
        </w:rPr>
        <w:t xml:space="preserve">torts</w:t>
      </w:r>
      <w:r>
        <w:rPr>
          <w:rFonts w:asciiTheme="majorHAnsi" w:hAnsiTheme="majorHAnsi"/>
          <w:sz w:val="22"/>
          <w:szCs w:val="22"/>
        </w:rPr>
        <w:t xml:space="preserve"> exclusifs de la Partie défaillante</w:t>
      </w:r>
      <w:r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AA675F4" w14:textId="77777777">
      <w:pPr>
        <w:pStyle w:val="1166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D737872" w14:textId="1355C14F">
      <w:pPr>
        <w:pStyle w:val="1166"/>
        <w:pBdr/>
        <w:spacing w:after="120"/>
        <w:ind w:right="290"/>
        <w:contextualSpacing w:val="true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8</w:t>
      </w:r>
      <w:r>
        <w:rPr>
          <w:rFonts w:asciiTheme="majorHAnsi" w:hAnsiTheme="majorHAnsi"/>
          <w:b/>
          <w:sz w:val="22"/>
          <w:szCs w:val="22"/>
        </w:rPr>
        <w:t xml:space="preserve"> : </w:t>
      </w:r>
      <w:r>
        <w:rPr>
          <w:rFonts w:asciiTheme="majorHAnsi" w:hAnsiTheme="majorHAnsi"/>
          <w:b/>
          <w:sz w:val="22"/>
          <w:szCs w:val="22"/>
        </w:rPr>
        <w:t xml:space="preserve">DIFFÉREND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B323208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 différend relatif à l’</w:t>
      </w:r>
      <w:r>
        <w:rPr>
          <w:rFonts w:asciiTheme="majorHAnsi" w:hAnsiTheme="majorHAnsi"/>
          <w:sz w:val="22"/>
          <w:szCs w:val="22"/>
        </w:rPr>
        <w:t xml:space="preserve">exécution</w:t>
      </w:r>
      <w:r>
        <w:rPr>
          <w:rFonts w:asciiTheme="majorHAnsi" w:hAnsiTheme="majorHAnsi"/>
          <w:sz w:val="22"/>
          <w:szCs w:val="22"/>
        </w:rPr>
        <w:t xml:space="preserve"> ou à l’interprétation des termes d</w:t>
      </w:r>
      <w:r>
        <w:rPr>
          <w:rFonts w:asciiTheme="majorHAnsi" w:hAnsiTheme="majorHAnsi"/>
          <w:sz w:val="22"/>
          <w:szCs w:val="22"/>
        </w:rPr>
        <w:t xml:space="preserve">e la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sera</w:t>
      </w:r>
      <w:r>
        <w:rPr>
          <w:rFonts w:asciiTheme="majorHAnsi" w:hAnsiTheme="majorHAnsi"/>
          <w:sz w:val="22"/>
          <w:szCs w:val="22"/>
        </w:rPr>
        <w:t xml:space="preserve"> réglé</w:t>
      </w:r>
      <w:r>
        <w:rPr>
          <w:rFonts w:asciiTheme="majorHAnsi" w:hAnsiTheme="majorHAnsi"/>
          <w:sz w:val="22"/>
          <w:szCs w:val="22"/>
        </w:rPr>
        <w:t xml:space="preserve"> par voie amiable.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A défaut de résolution amiable, le litige sera porté devant les tribunaux compétents de </w:t>
      </w:r>
      <w:r>
        <w:rPr>
          <w:rFonts w:asciiTheme="majorHAnsi" w:hAnsiTheme="majorHAnsi"/>
          <w:sz w:val="22"/>
          <w:szCs w:val="22"/>
        </w:rPr>
        <w:t xml:space="preserve">Strasbourg.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29AEE44" w14:textId="1FB608E4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est établi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en 2 exemplaires originaux, chacune des Parties reconnaissant avoir reçu le sien.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E4E64D8" w14:textId="7A4C0D20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Fait</w:t>
      </w:r>
      <w:r>
        <w:rPr>
          <w:rFonts w:asciiTheme="majorHAnsi" w:hAnsiTheme="majorHAnsi"/>
          <w:sz w:val="22"/>
          <w:szCs w:val="22"/>
        </w:rPr>
        <w:t xml:space="preserve"> à </w:t>
      </w:r>
      <w:r>
        <w:rPr>
          <w:rFonts w:asciiTheme="majorHAnsi" w:hAnsiTheme="majorHAnsi"/>
          <w:sz w:val="22"/>
          <w:szCs w:val="22"/>
        </w:rPr>
        <w:t xml:space="preserve">Strasbourg</w:t>
      </w:r>
      <w:r>
        <w:rPr>
          <w:rFonts w:asciiTheme="majorHAnsi" w:hAnsiTheme="majorHAnsi"/>
          <w:sz w:val="22"/>
          <w:szCs w:val="22"/>
        </w:rPr>
        <w:t xml:space="preserve">, le </w:t>
      </w:r>
      <w:r>
        <w:rPr>
          <w:rFonts w:asciiTheme="majorHAnsi" w:hAnsiTheme="majorHAnsi"/>
          <w:sz w:val="22"/>
          <w:szCs w:val="22"/>
          <w:highlight w:val="yellow"/>
        </w:rPr>
        <w:t xml:space="preserve">XXX</w:t>
      </w:r>
      <w:r>
        <w:rPr>
          <w:rFonts w:asciiTheme="majorHAnsi" w:hAnsiTheme="majorHAnsi"/>
          <w:i/>
          <w:sz w:val="22"/>
          <w:szCs w:val="22"/>
          <w:highlight w:val="yellow"/>
        </w:rPr>
        <w:t xml:space="preserve">.</w:t>
      </w: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4F07D60D" w14:textId="77777777">
      <w:pPr>
        <w:pStyle w:val="1166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29C24E7" w14:textId="313A06FB">
      <w:pPr>
        <w:pStyle w:val="1166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Pour </w:t>
      </w: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e RECIT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  <w:highlight w:val="yellow"/>
        </w:rPr>
        <w:t xml:space="preserve">Pour </w:t>
      </w:r>
      <w:r>
        <w:rPr>
          <w:rFonts w:asciiTheme="majorHAnsi" w:hAnsiTheme="majorHAnsi"/>
          <w:sz w:val="22"/>
          <w:szCs w:val="22"/>
          <w:highlight w:val="yellow"/>
        </w:rPr>
        <w:t xml:space="preserve">L’UTILISATEUR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B40A275" w14:textId="007EC93E">
      <w:pPr>
        <w:pStyle w:val="1166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868277A" w14:textId="357C66C1">
      <w:pPr>
        <w:pStyle w:val="1166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eastAsia="Times New Roman"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br w:type="page" w:clear="all"/>
      </w:r>
      <w:r>
        <w:rPr>
          <w:rFonts w:eastAsia="Times New Roman" w:asciiTheme="majorHAnsi" w:hAnsiTheme="majorHAnsi"/>
          <w:color w:val="auto"/>
          <w:sz w:val="22"/>
          <w:szCs w:val="22"/>
        </w:rPr>
      </w:r>
      <w:r>
        <w:rPr>
          <w:rFonts w:eastAsia="Times New Roman" w:asciiTheme="majorHAnsi" w:hAnsiTheme="majorHAnsi"/>
          <w:color w:val="auto"/>
          <w:sz w:val="22"/>
          <w:szCs w:val="22"/>
        </w:rPr>
      </w:r>
    </w:p>
    <w:p w14:paraId="031491C2" w14:textId="483301E3">
      <w:pPr>
        <w:pBdr/>
        <w:spacing w:after="120" w:line="276" w:lineRule="auto"/>
        <w:ind/>
        <w:jc w:val="center"/>
        <w:outlineLvl w:val="0"/>
        <w:rPr>
          <w:rFonts w:asciiTheme="majorHAnsi" w:hAnsiTheme="majorHAnsi"/>
          <w:b/>
          <w:lang w:eastAsia="fr-FR"/>
        </w:rPr>
      </w:pPr>
      <w:r>
        <w:rPr>
          <w:rFonts w:asciiTheme="majorHAnsi" w:hAnsiTheme="majorHAnsi"/>
          <w:b/>
          <w:lang w:eastAsia="fr-FR"/>
        </w:rPr>
        <w:t xml:space="preserve">ANNEXE</w:t>
      </w:r>
      <w:r>
        <w:rPr>
          <w:rFonts w:asciiTheme="majorHAnsi" w:hAnsiTheme="majorHAnsi"/>
          <w:b/>
          <w:lang w:eastAsia="fr-FR"/>
        </w:rPr>
        <w:t xml:space="preserve"> 1</w:t>
      </w:r>
      <w:r>
        <w:rPr>
          <w:rFonts w:asciiTheme="majorHAnsi" w:hAnsiTheme="majorHAnsi"/>
          <w:b/>
          <w:lang w:eastAsia="fr-FR"/>
        </w:rPr>
      </w:r>
      <w:r>
        <w:rPr>
          <w:rFonts w:asciiTheme="majorHAnsi" w:hAnsiTheme="majorHAnsi"/>
          <w:b/>
          <w:lang w:eastAsia="fr-FR"/>
        </w:rPr>
      </w:r>
    </w:p>
    <w:p w14:paraId="30EF4BC2" w14:textId="3BB3EBD5">
      <w:pPr>
        <w:pBdr/>
        <w:spacing w:after="120"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« POLICE D’ASSURANCE »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06B1A42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6E45163" w14:textId="1CC123DD">
      <w:pPr>
        <w:pBdr/>
        <w:spacing w:after="120" w:line="276" w:lineRule="auto"/>
        <w:ind/>
        <w:jc w:val="both"/>
        <w:outlineLvl w:val="0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1 – DÉFINITIONS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53C1E63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ACCIDENT : tout événement soudain, imprévu et extérieur au bien endommagé, constituant la cause des dommages matériels.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68C5CB21" w14:textId="02B20FA0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LIMITES TERRITORIALES : </w:t>
      </w:r>
      <w:r>
        <w:rPr>
          <w:rFonts w:asciiTheme="majorHAnsi" w:hAnsiTheme="majorHAnsi"/>
          <w:sz w:val="22"/>
          <w:szCs w:val="22"/>
          <w:lang w:eastAsia="fr-FR"/>
        </w:rPr>
        <w:t xml:space="preserve">France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2109B5D8" w14:textId="3889A0E3">
      <w:pPr>
        <w:pBdr/>
        <w:spacing w:after="120" w:line="276" w:lineRule="auto"/>
        <w:ind/>
        <w:jc w:val="both"/>
        <w:outlineLvl w:val="0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2 – OBJET DE LA GARANTIE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55BA4D05" w14:textId="6A92150C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La </w:t>
      </w:r>
      <w:r>
        <w:rPr>
          <w:rFonts w:asciiTheme="majorHAnsi" w:hAnsiTheme="majorHAnsi"/>
          <w:sz w:val="22"/>
          <w:szCs w:val="22"/>
          <w:lang w:eastAsia="fr-FR"/>
        </w:rPr>
        <w:t xml:space="preserve">police d’assurance souscrite </w:t>
      </w:r>
      <w:r>
        <w:rPr>
          <w:rFonts w:asciiTheme="majorHAnsi" w:hAnsiTheme="majorHAnsi"/>
          <w:sz w:val="22"/>
          <w:szCs w:val="22"/>
          <w:lang w:eastAsia="fr-FR"/>
        </w:rPr>
        <w:t xml:space="preserve">a pour objet de garantir l'assuré contre tous risques de perte, bris ou destruction accidentels, subis par le matériel, que ce soit au repos, en activité et en cours ou à l'occasion d'un transport lorsqu'ils résultent de :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9ACFEDF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chute, choc, heurt contre un corps fixe ou mobile,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CBA7559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vol en tous lieux avec effraction,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2834A3FC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incendie, explosions, implosions, chute de la foudre,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683CD6C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de l'électricité sans incendie,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96C57AB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ou irruption de liquides de toute nature et de quelque origine qu'elle soit,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C6BEDC6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tempête, ouragan, trombe, cyclone,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38D96AC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gel,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02E274A" w14:textId="245A5F48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acte de malveillance, sabotage ou de vandalisme commis par des préposés de l'assuré ou par des tiers, ou commis à l'occasion d'une grève, d'une émeute ou d'un mouvement populaire.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36771D4" w14:textId="77777777">
      <w:pPr>
        <w:pBdr/>
        <w:spacing w:after="120"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426B03F8" w14:textId="12EE08DF">
      <w:pPr>
        <w:pBdr/>
        <w:spacing w:after="120" w:line="276" w:lineRule="auto"/>
        <w:ind/>
        <w:jc w:val="both"/>
        <w:outlineLvl w:val="0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3 – EXCLUSIONS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FC6C0BC" w14:textId="013E4FAB">
      <w:pPr>
        <w:pBdr/>
        <w:spacing w:after="120" w:line="276" w:lineRule="auto"/>
        <w:ind/>
        <w:jc w:val="both"/>
        <w:outlineLvl w:val="0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SONT EXCLUS LES DOMMAGES :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A06EFB7" w14:textId="2D87B695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RESULTANT DE VICE PROPRE, DE CONDITIONS ANORMALES D'UTILISATION OU DE DEFAUT D'ENTRETIEN DU MATERIEL GARANTI,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272736EB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SUBIS PAR LES PIECES NECESSITANT UN REMPLACEMENT PERIODIQUE, SAUF SI CES DOMMAGES SONT LA CONSEQUENCE D'UN SINISTRE ATTEIGNANT LE MATERIEL DANS SON ENSEMBLE,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26729D61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DUS A L'USURE, LA DETERIORATION PROGRESSIVE, LA ROUILLE, LA CORROSION, AUX RAYURES SUR DES SURFACES PEINTES OU POLIES, A L'HUMIDITE ET A LA CONDENSATION,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160C5B12" w14:textId="3F97918E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DE TAGS OU GRAFFITIS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730E8A4B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RESULTANT D'INCIDENTS D'EXPLOITATION A LA SUITE NOTAMMENT DE GRIPPAGE, DEREGLAGE, VIBRATION, SURVITESSE, FORCE CENTRIFUGE,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FDC4766" w14:textId="6560DAE2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AUX 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APPAREILS LAISSES LA NUIT DE 22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H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 A 6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H DANS LES VEHICULES STATIONNANT HORS LOCAUX FERMES A CLE OU DE JOUR DANS LES VEHICULES NON FERMES A CLE.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C5DAE06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70E9F6EB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AB284F0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DA2D6DD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B199070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A061CA8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2768EFC" w14:textId="2569A009">
      <w:pPr>
        <w:pBdr/>
        <w:spacing w:line="276" w:lineRule="auto"/>
        <w:ind/>
        <w:jc w:val="center"/>
        <w:outlineLvl w:val="0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ANNEXE 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2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27785E07" w14:textId="366D4566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CONTENU</w:t>
      </w:r>
      <w:r>
        <w:rPr>
          <w:rFonts w:asciiTheme="majorHAnsi" w:hAnsiTheme="majorHAnsi"/>
        </w:rPr>
        <w:t xml:space="preserve"> DE LA </w:t>
      </w:r>
      <w:r>
        <w:rPr>
          <w:rFonts w:asciiTheme="majorHAnsi" w:hAnsiTheme="majorHAnsi"/>
        </w:rPr>
        <w:t xml:space="preserve">MALLE</w:t>
      </w:r>
      <w:r>
        <w:rPr>
          <w:rFonts w:asciiTheme="majorHAnsi" w:hAnsiTheme="majorHAnsi"/>
        </w:rPr>
        <w:t xml:space="preserve"> PRÉ</w:t>
      </w:r>
      <w:r>
        <w:rPr>
          <w:rFonts w:asciiTheme="majorHAnsi" w:hAnsiTheme="majorHAnsi"/>
        </w:rPr>
        <w:t xml:space="preserve">-CINEMA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4FBC0111" w14:textId="190C223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7A81D0CC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61342A54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363F3AE3" w14:textId="77777777">
      <w:pPr>
        <w:pStyle w:val="1166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1 boîte en carton </w:t>
      </w:r>
      <w:r>
        <w:rPr>
          <w:rFonts w:asciiTheme="majorHAnsi" w:hAnsiTheme="majorHAnsi"/>
          <w:sz w:val="22"/>
          <w:szCs w:val="22"/>
        </w:rPr>
        <w:t xml:space="preserve">(L et l : 41,5 cm, H : 31 cm) </w:t>
      </w:r>
      <w:r>
        <w:rPr>
          <w:rFonts w:asciiTheme="majorHAnsi" w:hAnsiTheme="majorHAnsi"/>
          <w:sz w:val="22"/>
          <w:szCs w:val="22"/>
        </w:rPr>
        <w:t xml:space="preserve">contenant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63C8FBA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1 coffret de 10 </w:t>
      </w:r>
      <w:r>
        <w:rPr>
          <w:rFonts w:asciiTheme="majorHAnsi" w:hAnsiTheme="majorHAnsi"/>
          <w:sz w:val="22"/>
          <w:szCs w:val="22"/>
        </w:rPr>
        <w:t xml:space="preserve">thaumatropes</w:t>
      </w:r>
      <w:r>
        <w:rPr>
          <w:rFonts w:asciiTheme="majorHAnsi" w:hAnsiTheme="majorHAnsi"/>
          <w:sz w:val="22"/>
          <w:szCs w:val="22"/>
        </w:rPr>
        <w:t xml:space="preserve">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C62C0A4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2 </w:t>
      </w:r>
      <w:r>
        <w:rPr>
          <w:rFonts w:asciiTheme="majorHAnsi" w:hAnsiTheme="majorHAnsi"/>
          <w:sz w:val="22"/>
          <w:szCs w:val="22"/>
        </w:rPr>
        <w:t xml:space="preserve">folioscopes</w:t>
      </w:r>
      <w:r>
        <w:rPr>
          <w:rFonts w:asciiTheme="majorHAnsi" w:hAnsiTheme="majorHAnsi"/>
          <w:sz w:val="22"/>
          <w:szCs w:val="22"/>
        </w:rPr>
        <w:t xml:space="preserve"> (1 Tour Eiffel et 1 </w:t>
      </w:r>
      <w:r>
        <w:rPr>
          <w:rFonts w:asciiTheme="majorHAnsi" w:hAnsiTheme="majorHAnsi"/>
          <w:sz w:val="22"/>
          <w:szCs w:val="22"/>
        </w:rPr>
        <w:t xml:space="preserve">Sweet</w:t>
      </w:r>
      <w:r>
        <w:rPr>
          <w:rFonts w:asciiTheme="majorHAnsi" w:hAnsiTheme="majorHAnsi"/>
          <w:sz w:val="22"/>
          <w:szCs w:val="22"/>
        </w:rPr>
        <w:t xml:space="preserve"> Home)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38526E6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phénakistiscope</w:t>
      </w:r>
      <w:r>
        <w:rPr>
          <w:rFonts w:asciiTheme="majorHAnsi" w:hAnsiTheme="majorHAnsi"/>
          <w:sz w:val="22"/>
          <w:szCs w:val="22"/>
        </w:rPr>
        <w:t xml:space="preserve"> (diamètre : 25 cm)</w:t>
      </w:r>
      <w:r>
        <w:rPr>
          <w:rFonts w:asciiTheme="majorHAnsi" w:hAnsiTheme="majorHAnsi"/>
          <w:sz w:val="22"/>
          <w:szCs w:val="22"/>
        </w:rPr>
        <w:t xml:space="preserve">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6321ECC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miroir pour le phénakistiscope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BD43866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zootrope </w:t>
      </w:r>
      <w:r>
        <w:rPr>
          <w:rFonts w:asciiTheme="majorHAnsi" w:hAnsiTheme="majorHAnsi"/>
          <w:sz w:val="22"/>
          <w:szCs w:val="22"/>
        </w:rPr>
        <w:t xml:space="preserve">(diamètre : 22 cm) </w:t>
      </w:r>
      <w:r>
        <w:rPr>
          <w:rFonts w:asciiTheme="majorHAnsi" w:hAnsiTheme="majorHAnsi"/>
          <w:sz w:val="22"/>
          <w:szCs w:val="22"/>
        </w:rPr>
        <w:t xml:space="preserve">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784750D" w14:textId="77777777">
      <w:pPr>
        <w:pStyle w:val="1166"/>
        <w:pBdr/>
        <w:spacing w:after="120"/>
        <w:ind w:right="290" w:firstLine="708"/>
        <w:contextualSpacing w:val="true"/>
        <w:jc w:val="both"/>
        <w:rPr>
          <w:rFonts w:cs="Apple Symbols"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cs="Apple Symbols" w:asciiTheme="majorHAnsi" w:hAnsiTheme="majorHAnsi"/>
          <w:sz w:val="22"/>
          <w:szCs w:val="22"/>
        </w:rPr>
        <w:tab/>
        <w:t xml:space="preserve">1 praxinoscope</w:t>
      </w:r>
      <w:r>
        <w:rPr>
          <w:rFonts w:cs="Apple Symbols" w:asciiTheme="majorHAnsi" w:hAnsiTheme="majorHAnsi"/>
          <w:sz w:val="22"/>
          <w:szCs w:val="22"/>
        </w:rPr>
        <w:t xml:space="preserve"> (hauteur 16 cm ; diamètre : 22 cm)</w:t>
      </w:r>
      <w:r>
        <w:rPr>
          <w:rFonts w:cs="Apple Symbols" w:asciiTheme="majorHAnsi" w:hAnsiTheme="majorHAnsi"/>
          <w:sz w:val="22"/>
          <w:szCs w:val="22"/>
        </w:rPr>
        <w:t xml:space="preserve"> ; </w:t>
      </w:r>
      <w:r>
        <w:rPr>
          <w:rFonts w:cs="Apple Symbols" w:asciiTheme="majorHAnsi" w:hAnsiTheme="majorHAnsi"/>
          <w:sz w:val="22"/>
          <w:szCs w:val="22"/>
        </w:rPr>
      </w:r>
      <w:r>
        <w:rPr>
          <w:rFonts w:cs="Apple Symbols" w:asciiTheme="majorHAnsi" w:hAnsiTheme="majorHAnsi"/>
          <w:sz w:val="22"/>
          <w:szCs w:val="22"/>
        </w:rPr>
      </w:r>
    </w:p>
    <w:p w14:paraId="6F8B3EF3" w14:textId="77777777">
      <w:pPr>
        <w:pStyle w:val="1166"/>
        <w:pBdr/>
        <w:spacing w:after="120"/>
        <w:ind w:right="290" w:firstLine="708"/>
        <w:contextualSpacing w:val="true"/>
        <w:jc w:val="both"/>
        <w:rPr>
          <w:rFonts w:cs="Apple Symbols"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="Apple Symbols" w:hAnsi="Apple Symbols" w:cs="Apple Symbols"/>
          <w:sz w:val="22"/>
          <w:szCs w:val="22"/>
        </w:rPr>
        <w:tab/>
      </w:r>
      <w:r>
        <w:rPr>
          <w:rFonts w:cs="Apple Symbols" w:asciiTheme="majorHAnsi" w:hAnsiTheme="majorHAnsi"/>
          <w:sz w:val="22"/>
          <w:szCs w:val="22"/>
        </w:rPr>
        <w:t xml:space="preserve">2 bandes de praxinoscope</w:t>
      </w:r>
      <w:r>
        <w:rPr>
          <w:rFonts w:cs="Apple Symbols" w:asciiTheme="majorHAnsi" w:hAnsiTheme="majorHAnsi"/>
          <w:sz w:val="22"/>
          <w:szCs w:val="22"/>
        </w:rPr>
        <w:t xml:space="preserve"> (63,3 cm de longueur) ;</w:t>
      </w:r>
      <w:r>
        <w:rPr>
          <w:rFonts w:cs="Apple Symbols" w:asciiTheme="majorHAnsi" w:hAnsiTheme="majorHAnsi"/>
          <w:sz w:val="22"/>
          <w:szCs w:val="22"/>
        </w:rPr>
      </w:r>
      <w:r>
        <w:rPr>
          <w:rFonts w:cs="Apple Symbols" w:asciiTheme="majorHAnsi" w:hAnsiTheme="majorHAnsi"/>
          <w:sz w:val="22"/>
          <w:szCs w:val="22"/>
        </w:rPr>
      </w:r>
    </w:p>
    <w:p w14:paraId="4BFAD834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  <w:t xml:space="preserve">14 affiches présentant les objets et les ateliers possibles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1451A54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Theme="majorHAnsi" w:hAnsiTheme="majorHAnsi"/>
          <w:sz w:val="22"/>
          <w:szCs w:val="22"/>
        </w:rPr>
        <w:tab/>
        <w:t xml:space="preserve">1 pot de confiture à facettes pour l’atelier Fabrication d’un mini-praxinoscope ;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31007BF" w14:textId="77777777">
      <w:pPr>
        <w:pStyle w:val="1166"/>
        <w:pBdr/>
        <w:spacing w:after="120"/>
        <w:ind w:right="290" w:left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1618615</wp:posOffset>
                </wp:positionV>
                <wp:extent cx="1028700" cy="342900"/>
                <wp:effectExtent l="0" t="0" r="0" b="12700"/>
                <wp:wrapSquare wrapText="bothSides"/>
                <wp:docPr id="2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0B74E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phénakistiscope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63360;o:allowoverlap:true;o:allowincell:true;mso-position-horizontal-relative:text;margin-left:360.00pt;mso-position-horizontal:absolute;mso-position-vertical-relative:text;margin-top:127.45pt;mso-position-vertical:absolute;width:81.00pt;height:27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00C0B74E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phénakistiscope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932815</wp:posOffset>
                </wp:positionV>
                <wp:extent cx="1143000" cy="0"/>
                <wp:effectExtent l="50800" t="25400" r="76200" b="101600"/>
                <wp:wrapNone/>
                <wp:docPr id="3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65408;mso-wrap-distance-left:9.00pt;mso-wrap-distance-top:0.00pt;mso-wrap-distance-right:9.00pt;mso-wrap-distance-bottom:0.00pt;flip:x;visibility:visible;" from="270.0pt,73.5pt" to="360.0pt,73.5pt" filled="f" strokecolor="#4F81BD" strokeweight="2.00pt">
                <v:stroke dashstyle="solid"/>
              </v:lin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818515</wp:posOffset>
                </wp:positionV>
                <wp:extent cx="1028700" cy="457200"/>
                <wp:effectExtent l="0" t="0" r="0" b="0"/>
                <wp:wrapSquare wrapText="bothSides"/>
                <wp:docPr id="4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4EC98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miroir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(posé à l’envers)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4384;o:allowoverlap:true;o:allowincell:true;mso-position-horizontal-relative:text;margin-left:360.00pt;mso-position-horizontal:absolute;mso-position-vertical-relative:text;margin-top:64.45pt;mso-position-vertical:absolute;width:81.00pt;height:36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7C44EC98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miroir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(posé à l’envers)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361315</wp:posOffset>
                </wp:positionV>
                <wp:extent cx="2912745" cy="2850515"/>
                <wp:effectExtent l="0" t="0" r="8255" b="0"/>
                <wp:wrapTopAndBottom/>
                <wp:docPr id="5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pture d’écran 2017-12-12 à 09.47.41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912745" cy="2850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251659264;o:allowoverlap:true;o:allowincell:true;mso-position-horizontal-relative:text;margin-left:99.00pt;mso-position-horizontal:absolute;mso-position-vertical-relative:text;margin-top:28.45pt;mso-position-vertical:absolute;width:229.35pt;height:224.45pt;mso-wrap-distance-left:9.00pt;mso-wrap-distance-top:0.00pt;mso-wrap-distance-right:9.00pt;mso-wrap-distance-bottom:0.00pt;z-index:1;" stroked="false">
                <w10:wrap type="topAndBottom"/>
                <v:imagedata r:id="rId14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361315</wp:posOffset>
                </wp:positionV>
                <wp:extent cx="1257300" cy="342900"/>
                <wp:effectExtent l="0" t="0" r="0" b="12700"/>
                <wp:wrapSquare wrapText="bothSides"/>
                <wp:docPr id="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358B70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  <w:u w:val="single"/>
                              </w:rPr>
                              <w:t xml:space="preserve">Niveau supérieur 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: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5" o:spid="_x0000_s5" o:spt="202" type="#_x0000_t202" style="position:absolute;z-index:251660288;o:allowoverlap:true;o:allowincell:true;mso-position-horizontal-relative:text;margin-left:-18.00pt;mso-position-horizontal:absolute;mso-position-vertical-relative:text;margin-top:28.45pt;mso-position-vertical:absolute;width:99.00pt;height:27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7B358B70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  <w:u w:val="single"/>
                        </w:rPr>
                        <w:t xml:space="preserve">Niveau supérieur 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: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ple Symbols" w:hAnsi="Apple Symbols" w:cs="Apple Symbols"/>
          <w:sz w:val="22"/>
          <w:szCs w:val="22"/>
        </w:rPr>
        <w:t xml:space="preserve">☐</w:t>
      </w:r>
      <w:r>
        <w:rPr>
          <w:rFonts w:ascii="Apple Symbols" w:hAnsi="Apple Symbols" w:cs="Apple Symbols"/>
          <w:sz w:val="22"/>
          <w:szCs w:val="22"/>
        </w:rPr>
        <w:tab/>
      </w:r>
      <w:r>
        <w:rPr>
          <w:rFonts w:cs="Apple Symbols" w:asciiTheme="majorHAnsi" w:hAnsiTheme="majorHAnsi"/>
          <w:sz w:val="22"/>
          <w:szCs w:val="22"/>
        </w:rPr>
        <w:t xml:space="preserve">2</w:t>
      </w:r>
      <w:r>
        <w:rPr>
          <w:rFonts w:cs="Apple Symbols" w:asciiTheme="majorHAnsi" w:hAnsiTheme="majorHAnsi"/>
          <w:sz w:val="22"/>
          <w:szCs w:val="22"/>
        </w:rPr>
        <w:t xml:space="preserve"> morceaux de pellicule.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905EE59" w14:textId="77777777">
      <w:pPr>
        <w:pStyle w:val="1166"/>
        <w:pBdr/>
        <w:spacing w:after="120"/>
        <w:ind w:right="290" w:firstLine="70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1562100</wp:posOffset>
                </wp:positionV>
                <wp:extent cx="1143000" cy="0"/>
                <wp:effectExtent l="50800" t="25400" r="76200" b="101600"/>
                <wp:wrapNone/>
                <wp:docPr id="7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6" o:spid="_x0000_s6" style="position:absolute;left:0;text-align:left;z-index:251666432;mso-wrap-distance-left:9.00pt;mso-wrap-distance-top:0.00pt;mso-wrap-distance-right:9.00pt;mso-wrap-distance-bottom:0.00pt;flip:x;visibility:visible;" from="270.0pt,123.0pt" to="360.0pt,123.0pt" filled="f" strokecolor="#4F81BD" strokeweight="2.00pt">
                <v:stroke dashstyle="solid"/>
              </v:line>
            </w:pict>
          </mc:Fallback>
        </mc:AlternateConten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3959C83" w14:textId="77777777">
      <w:pPr>
        <w:pBdr/>
        <w:spacing/>
        <w:ind/>
        <w:rPr/>
      </w:pP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102870</wp:posOffset>
                </wp:positionV>
                <wp:extent cx="1257300" cy="342900"/>
                <wp:effectExtent l="0" t="0" r="0" b="12700"/>
                <wp:wrapSquare wrapText="bothSides"/>
                <wp:docPr id="8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3359B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  <w:u w:val="single"/>
                              </w:rPr>
                              <w:t xml:space="preserve">Niveau inférieur 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: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7" o:spid="_x0000_s7" o:spt="202" type="#_x0000_t202" style="position:absolute;z-index:251662336;o:allowoverlap:true;o:allowincell:true;mso-position-horizontal-relative:text;margin-left:-18.00pt;mso-position-horizontal:absolute;mso-position-vertical-relative:text;margin-top:8.10pt;mso-position-vertical:absolute;width:99.00pt;height:27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5033359B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  <w:u w:val="single"/>
                        </w:rPr>
                        <w:t xml:space="preserve">Niveau inférieur 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: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 w14:paraId="6DA1FF57" w14:textId="77777777">
      <w:pPr>
        <w:pBdr/>
        <w:spacing/>
        <w:ind/>
        <w:rPr/>
      </w:pP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2096135</wp:posOffset>
                </wp:positionV>
                <wp:extent cx="1028700" cy="342900"/>
                <wp:effectExtent l="0" t="0" r="0" b="12700"/>
                <wp:wrapSquare wrapText="bothSides"/>
                <wp:docPr id="9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C6721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pot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de confiture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251681792;o:allowoverlap:true;o:allowincell:true;mso-position-horizontal-relative:text;margin-left:270.00pt;mso-position-horizontal:absolute;mso-position-vertical-relative:text;margin-top:165.05pt;mso-position-vertical:absolute;width:81.00pt;height:27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579C6721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pot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de confiture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2210435</wp:posOffset>
                </wp:positionV>
                <wp:extent cx="1371600" cy="0"/>
                <wp:effectExtent l="50800" t="25400" r="76200" b="101600"/>
                <wp:wrapNone/>
                <wp:docPr id="10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hape 9" o:spid="_x0000_s9" style="position:absolute;left:0;text-align:left;z-index:251680768;mso-wrap-distance-left:9.00pt;mso-wrap-distance-top:0.00pt;mso-wrap-distance-right:9.00pt;mso-wrap-distance-bottom:0.00pt;flip:x;visibility:visible;" from="162.0pt,174.0pt" to="270.0pt,174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1867535</wp:posOffset>
                </wp:positionV>
                <wp:extent cx="1143000" cy="0"/>
                <wp:effectExtent l="50800" t="25400" r="76200" b="101600"/>
                <wp:wrapNone/>
                <wp:docPr id="11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0" o:spid="_x0000_s10" style="position:absolute;left:0;text-align:left;z-index:251669504;mso-wrap-distance-left:9.00pt;mso-wrap-distance-top:0.00pt;mso-wrap-distance-right:9.00pt;mso-wrap-distance-bottom:0.00pt;flip:x;visibility:visible;" from="189.0pt,147.0pt" to="279.0pt,147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1638935</wp:posOffset>
                </wp:positionV>
                <wp:extent cx="1028700" cy="457200"/>
                <wp:effectExtent l="0" t="0" r="0" b="0"/>
                <wp:wrapSquare wrapText="bothSides"/>
                <wp:docPr id="12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D4571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coffret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de 10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thaumatropes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1" o:spid="_x0000_s11" o:spt="202" type="#_x0000_t202" style="position:absolute;z-index:251675648;o:allowoverlap:true;o:allowincell:true;mso-position-horizontal-relative:text;margin-left:279.00pt;mso-position-horizontal:absolute;mso-position-vertical-relative:text;margin-top:129.05pt;mso-position-vertical:absolute;width:81.00pt;height:36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262D4571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coffret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de 10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thaumatropes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1981835</wp:posOffset>
                </wp:positionV>
                <wp:extent cx="342900" cy="342900"/>
                <wp:effectExtent l="50800" t="25400" r="38100" b="114300"/>
                <wp:wrapThrough wrapText="bothSides">
                  <wp:wrapPolygon edited="1">
                    <wp:start x="1600" y="-1600"/>
                    <wp:lineTo x="-3200" y="0"/>
                    <wp:lineTo x="-3200" y="20800"/>
                    <wp:lineTo x="3200" y="27200"/>
                    <wp:lineTo x="19200" y="27200"/>
                    <wp:lineTo x="20800" y="25600"/>
                    <wp:lineTo x="22400" y="6400"/>
                    <wp:lineTo x="20800" y="-1600"/>
                    <wp:lineTo x="1600" y="-1600"/>
                  </wp:wrapPolygon>
                </wp:wrapThrough>
                <wp:docPr id="13" name="El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DCDD02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3" type="#_x0000_t3" style="position:absolute;z-index:251679744;o:allowoverlap:true;o:allowincell:true;mso-position-horizontal-relative:text;margin-left:144.00pt;mso-position-horizontal:absolute;mso-position-vertical-relative:text;margin-top:156.05pt;mso-position-vertical:absolute;width:27.00pt;height:27.00pt;mso-wrap-distance-left:9.00pt;mso-wrap-distance-top:0.00pt;mso-wrap-distance-right:9.00pt;mso-wrap-distance-bottom:0.00pt;visibility:visible;" wrapcoords="7407 -7406 -14814 0 -14814 96296 14815 125926 88889 125926 96296 118519 103704 29630 96296 -7406 7407 -7406" fillcolor="#DCDD02" strokecolor="#487BB4" strokeweight="0.75pt">
                <v:stroke dashstyle="solid"/>
                <w10:wrap type="through"/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838835</wp:posOffset>
                </wp:positionV>
                <wp:extent cx="1600200" cy="457200"/>
                <wp:effectExtent l="0" t="0" r="0" b="0"/>
                <wp:wrapSquare wrapText="bothSides"/>
                <wp:docPr id="14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DBB78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praxinoscope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(avec 2 bandes supplémentaires)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3" o:spid="_x0000_s13" o:spt="202" type="#_x0000_t202" style="position:absolute;z-index:251674624;o:allowoverlap:true;o:allowincell:true;mso-position-horizontal-relative:text;margin-left:279.00pt;mso-position-horizontal:absolute;mso-position-vertical-relative:text;margin-top:66.05pt;mso-position-vertical:absolute;width:126.00pt;height:36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31CDBB78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praxinoscope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(avec 2 bandes supplémentaires)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1638935</wp:posOffset>
                </wp:positionV>
                <wp:extent cx="914400" cy="457200"/>
                <wp:effectExtent l="0" t="0" r="0" b="0"/>
                <wp:wrapSquare wrapText="bothSides"/>
                <wp:docPr id="15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DC602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2 morceaux de pellicule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4" o:spid="_x0000_s14" o:spt="202" type="#_x0000_t202" style="position:absolute;z-index:251677696;o:allowoverlap:true;o:allowincell:true;mso-position-horizontal-relative:text;margin-left:-72.00pt;mso-position-horizontal:absolute;mso-position-vertical-relative:text;margin-top:129.05pt;mso-position-vertical:absolute;width:72.00pt;height:36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3C9DC602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2 morceaux de pellicule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1867535</wp:posOffset>
                </wp:positionV>
                <wp:extent cx="1143000" cy="0"/>
                <wp:effectExtent l="50800" t="25400" r="76200" b="101600"/>
                <wp:wrapNone/>
                <wp:docPr id="16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5" o:spid="_x0000_s15" style="position:absolute;left:0;text-align:left;z-index:251678720;mso-wrap-distance-left:9.00pt;mso-wrap-distance-top:0.00pt;mso-wrap-distance-right:9.00pt;mso-wrap-distance-bottom:0.00pt;flip:x;visibility:visible;" from="-9.0pt,147.0pt" to="81.0pt,147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2096135</wp:posOffset>
                </wp:positionV>
                <wp:extent cx="685800" cy="342900"/>
                <wp:effectExtent l="0" t="0" r="0" b="12700"/>
                <wp:wrapSquare wrapText="bothSides"/>
                <wp:docPr id="17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20549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zootrope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o:spt="202" type="#_x0000_t202" style="position:absolute;z-index:251676672;o:allowoverlap:true;o:allowincell:true;mso-position-horizontal-relative:text;margin-left:-90.00pt;mso-position-horizontal:absolute;mso-position-vertical-relative:text;margin-top:165.05pt;mso-position-vertical:absolute;width:54.00pt;height:27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0BC20549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zootrope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2210435</wp:posOffset>
                </wp:positionV>
                <wp:extent cx="1143000" cy="0"/>
                <wp:effectExtent l="50800" t="25400" r="76200" b="101600"/>
                <wp:wrapNone/>
                <wp:docPr id="18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7" o:spid="_x0000_s17" style="position:absolute;left:0;text-align:left;z-index:251668480;mso-wrap-distance-left:9.00pt;mso-wrap-distance-top:0.00pt;mso-wrap-distance-right:9.00pt;mso-wrap-distance-bottom:0.00pt;flip:x;visibility:visible;" from="-36.0pt,174.0pt" to="54.0pt,174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153035</wp:posOffset>
                </wp:positionV>
                <wp:extent cx="1028700" cy="342900"/>
                <wp:effectExtent l="0" t="0" r="0" b="12700"/>
                <wp:wrapSquare wrapText="bothSides"/>
                <wp:docPr id="19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516ABB" w14:textId="77777777">
                            <w:pPr>
                              <w:pBdr/>
                              <w:spacing/>
                              <w:ind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folioscopes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8" o:spid="_x0000_s18" o:spt="202" type="#_x0000_t202" style="position:absolute;z-index:251673600;o:allowoverlap:true;o:allowincell:true;mso-position-horizontal-relative:text;margin-left:288.00pt;mso-position-horizontal:absolute;mso-position-vertical-relative:text;margin-top:12.05pt;mso-position-vertical:absolute;width:81.00pt;height:27.00pt;mso-wrap-distance-left:9.00pt;mso-wrap-distance-top:0.00pt;mso-wrap-distance-right:9.00pt;mso-wrap-distance-bottom:0.00pt;v-text-anchor:top;visibility:visible;" filled="f" stroked="f">
                <w10:wrap type="square"/>
                <v:textbox inset="0,0,0,0">
                  <w:txbxContent>
                    <w:p w14:paraId="2D516ABB" w14:textId="77777777">
                      <w:pPr>
                        <w:pBdr/>
                        <w:spacing/>
                        <w:ind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folioscopes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267335</wp:posOffset>
                </wp:positionV>
                <wp:extent cx="0" cy="228600"/>
                <wp:effectExtent l="50800" t="25400" r="76200" b="76200"/>
                <wp:wrapNone/>
                <wp:docPr id="20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9" o:spid="_x0000_s19" style="position:absolute;left:0;text-align:left;z-index:251672576;mso-wrap-distance-left:9.00pt;mso-wrap-distance-top:0.00pt;mso-wrap-distance-right:9.00pt;mso-wrap-distance-bottom:0.00pt;flip:y;visibility:visible;" from="117.0pt,21.1pt" to="117.0pt,39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267335</wp:posOffset>
                </wp:positionV>
                <wp:extent cx="0" cy="571500"/>
                <wp:effectExtent l="50800" t="25400" r="76200" b="88900"/>
                <wp:wrapNone/>
                <wp:docPr id="21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0" o:spid="_x0000_s20" style="position:absolute;left:0;text-align:left;z-index:251671552;mso-wrap-distance-left:9.00pt;mso-wrap-distance-top:0.00pt;mso-wrap-distance-right:9.00pt;mso-wrap-distance-bottom:0.00pt;flip:y;visibility:visible;" from="99.0pt,21.1pt" to="99.0pt,66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267335</wp:posOffset>
                </wp:positionV>
                <wp:extent cx="2400300" cy="0"/>
                <wp:effectExtent l="50800" t="25400" r="63500" b="101600"/>
                <wp:wrapNone/>
                <wp:docPr id="22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hape 21" o:spid="_x0000_s21" style="position:absolute;left:0;text-align:left;z-index:251670528;mso-wrap-distance-left:9.00pt;mso-wrap-distance-top:0.00pt;mso-wrap-distance-right:9.00pt;mso-wrap-distance-bottom:0.00pt;flip:x;visibility:visible;" from="99.0pt,21.1pt" to="288.0pt,21.1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953135</wp:posOffset>
                </wp:positionV>
                <wp:extent cx="1143000" cy="0"/>
                <wp:effectExtent l="50800" t="25400" r="76200" b="101600"/>
                <wp:wrapNone/>
                <wp:docPr id="23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2" o:spid="_x0000_s22" style="position:absolute;left:0;text-align:left;z-index:251667456;mso-wrap-distance-left:9.00pt;mso-wrap-distance-top:0.00pt;mso-wrap-distance-right:9.00pt;mso-wrap-distance-bottom:0.00pt;flip:x;visibility:visible;" from="192.0pt,75.0pt" to="282.0pt,75.0pt" filled="f" strokecolor="#4F81BD" strokeweight="2.00pt">
                <v:stroke dashstyle="solid"/>
              </v:line>
            </w:pict>
          </mc:Fallback>
        </mc:AlternateContent>
      </w: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38735</wp:posOffset>
                </wp:positionV>
                <wp:extent cx="2879725" cy="2897505"/>
                <wp:effectExtent l="0" t="0" r="0" b="0"/>
                <wp:wrapThrough wrapText="bothSides">
                  <wp:wrapPolygon edited="1">
                    <wp:start x="0" y="0"/>
                    <wp:lineTo x="0" y="21396"/>
                    <wp:lineTo x="21338" y="21396"/>
                    <wp:lineTo x="21338" y="0"/>
                    <wp:lineTo x="0" y="0"/>
                  </wp:wrapPolygon>
                </wp:wrapThrough>
                <wp:docPr id="24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pture d’écran 2017-12-12 à 09.47.57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879725" cy="2897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position:absolute;z-index:251661312;o:allowoverlap:true;o:allowincell:true;mso-position-horizontal-relative:text;margin-left:18.00pt;mso-position-horizontal:absolute;mso-position-vertical-relative:text;margin-top:3.05pt;mso-position-vertical:absolute;width:226.75pt;height:228.15pt;mso-wrap-distance-left:9.00pt;mso-wrap-distance-top:0.00pt;mso-wrap-distance-right:9.00pt;mso-wrap-distance-bottom:0.00pt;z-index:1;" wrapcoords="0 0 0 99056 98787 99056 98787 0 0 0" stroked="false">
                <w10:wrap type="through"/>
                <v:imagedata r:id="rId15" o:title=""/>
                <o:lock v:ext="edit" rotation="t"/>
              </v:shape>
            </w:pict>
          </mc:Fallback>
        </mc:AlternateContent>
      </w:r>
      <w:r/>
    </w:p>
    <w:p w14:paraId="27CA9798" w14:textId="67A8CCFE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5818713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1527C1A4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13C6CF9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762D4F5D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34AAADB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2896801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C67BD0B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2CBF7D6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65EF7FFE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00E1668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77E6A2D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7BC0462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300FABE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17A02E62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77201388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49A2F82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A1D65AB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64D229FC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6DA192B8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6A868571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5BA2FC5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77CFCF8" w14:textId="77777777">
      <w:pPr>
        <w:pStyle w:val="1166"/>
        <w:pBdr/>
        <w:spacing w:after="120" w:line="276" w:lineRule="auto"/>
        <w:ind w:right="290" w:left="360"/>
        <w:jc w:val="center"/>
        <w:rPr>
          <w:rFonts w:cs="Arial" w:asciiTheme="majorHAnsi" w:hAnsiTheme="majorHAnsi"/>
          <w:b/>
          <w:sz w:val="28"/>
          <w:szCs w:val="28"/>
        </w:rPr>
      </w:pPr>
      <w:r>
        <w:rPr>
          <w:rFonts w:cs="Arial" w:asciiTheme="majorHAnsi" w:hAnsiTheme="majorHAnsi"/>
          <w:b/>
          <w:sz w:val="28"/>
          <w:szCs w:val="28"/>
        </w:rPr>
        <w:t xml:space="preserve">BON DE RETOUR DU MATERIEL</w:t>
      </w:r>
      <w:r>
        <w:rPr>
          <w:rFonts w:cs="Arial" w:asciiTheme="majorHAnsi" w:hAnsiTheme="majorHAnsi"/>
          <w:b/>
          <w:sz w:val="28"/>
          <w:szCs w:val="28"/>
        </w:rPr>
      </w:r>
      <w:r>
        <w:rPr>
          <w:rFonts w:cs="Arial" w:asciiTheme="majorHAnsi" w:hAnsiTheme="majorHAnsi"/>
          <w:b/>
          <w:sz w:val="28"/>
          <w:szCs w:val="28"/>
        </w:rPr>
      </w:r>
    </w:p>
    <w:p w14:paraId="61015842" w14:textId="77777777">
      <w:pPr>
        <w:pStyle w:val="1166"/>
        <w:pBdr/>
        <w:spacing w:after="120" w:line="276" w:lineRule="auto"/>
        <w:ind w:right="290" w:left="360"/>
        <w:jc w:val="center"/>
        <w:rPr>
          <w:rFonts w:cs="Arial" w:asciiTheme="majorHAnsi" w:hAnsiTheme="majorHAnsi"/>
          <w:b/>
          <w:sz w:val="28"/>
          <w:szCs w:val="28"/>
        </w:rPr>
      </w:pPr>
      <w:r>
        <w:rPr>
          <w:rFonts w:cs="Arial" w:asciiTheme="majorHAnsi" w:hAnsiTheme="majorHAnsi"/>
          <w:b/>
          <w:sz w:val="28"/>
          <w:szCs w:val="28"/>
        </w:rPr>
      </w:r>
      <w:r>
        <w:rPr>
          <w:rFonts w:cs="Arial" w:asciiTheme="majorHAnsi" w:hAnsiTheme="majorHAnsi"/>
          <w:b/>
          <w:sz w:val="28"/>
          <w:szCs w:val="28"/>
        </w:rPr>
      </w:r>
      <w:r>
        <w:rPr>
          <w:rFonts w:cs="Arial" w:asciiTheme="majorHAnsi" w:hAnsiTheme="majorHAnsi"/>
          <w:b/>
          <w:sz w:val="28"/>
          <w:szCs w:val="28"/>
        </w:rPr>
      </w:r>
    </w:p>
    <w:tbl>
      <w:tblPr>
        <w:tblStyle w:val="1175"/>
        <w:tblInd w:w="-743" w:type="dxa"/>
        <w:tblW w:w="10774" w:type="dxa"/>
        <w:tblBorders/>
        <w:tblLook w:val="04A0" w:firstRow="1" w:lastRow="0" w:firstColumn="1" w:lastColumn="0" w:noHBand="0" w:noVBand="1"/>
      </w:tblPr>
      <w:tblGrid>
        <w:gridCol w:w="5246"/>
        <w:gridCol w:w="5528"/>
      </w:tblGrid>
      <w:tr>
        <w:trPr>
          <w:trHeight w:val="998"/>
        </w:trPr>
        <w:tc>
          <w:tcPr>
            <w:tcBorders/>
            <w:tcW w:w="5246" w:type="dxa"/>
          </w:tcPr>
          <w:p w14:paraId="0BA3D597" w14:textId="77777777">
            <w:pPr>
              <w:pStyle w:val="1166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Nom, </w:t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prénom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– structure </w:t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  <w:p w14:paraId="2745ADC4" w14:textId="77777777">
            <w:pPr>
              <w:pStyle w:val="1166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pPr>
            <w:r>
              <w:rPr>
                <w:rFonts w:ascii="Calibri" w:hAnsi="Calibri" w:cs="Arial"/>
                <w:color w:val="5f497a" w:themeColor="accent4" w:themeShade="BF"/>
                <w:sz w:val="24"/>
                <w:szCs w:val="24"/>
              </w:rPr>
              <w:t xml:space="preserve">de la personne en charge du retour du matériel</w:t>
            </w:r>
            <w:r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r>
            <w:r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r>
          </w:p>
        </w:tc>
        <w:tc>
          <w:tcPr>
            <w:tcBorders/>
            <w:tcW w:w="5528" w:type="dxa"/>
          </w:tcPr>
          <w:p w14:paraId="3727FC9D" w14:textId="77777777">
            <w:pPr>
              <w:pStyle w:val="1166"/>
              <w:pBdr/>
              <w:spacing w:after="120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684"/>
        </w:trPr>
        <w:tc>
          <w:tcPr>
            <w:tcBorders/>
            <w:tcW w:w="5246" w:type="dxa"/>
          </w:tcPr>
          <w:p w14:paraId="342789C8" w14:textId="77777777">
            <w:pPr>
              <w:pStyle w:val="1166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br/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Date et heure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du dépôt du matériel </w:t>
            </w:r>
            <w:r>
              <w:rPr>
                <w:rFonts w:ascii="Calibri" w:hAnsi="Calibri" w:cs="Arial"/>
                <w:sz w:val="24"/>
                <w:szCs w:val="24"/>
              </w:rPr>
            </w:r>
            <w:r>
              <w:rPr>
                <w:rFonts w:ascii="Calibri" w:hAnsi="Calibri" w:cs="Arial"/>
                <w:sz w:val="24"/>
                <w:szCs w:val="24"/>
              </w:rPr>
            </w:r>
          </w:p>
        </w:tc>
        <w:tc>
          <w:tcPr>
            <w:tcBorders/>
            <w:tcW w:w="5528" w:type="dxa"/>
          </w:tcPr>
          <w:p w14:paraId="6BDD93D2" w14:textId="77777777">
            <w:pPr>
              <w:pStyle w:val="1166"/>
              <w:pBdr/>
              <w:spacing w:after="120" w:line="276" w:lineRule="auto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2443"/>
        </w:trPr>
        <w:tc>
          <w:tcPr>
            <w:tcBorders/>
            <w:tcW w:w="5246" w:type="dxa"/>
          </w:tcPr>
          <w:p w14:paraId="06EFFE06" w14:textId="77777777">
            <w:pPr>
              <w:pStyle w:val="1166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3FF0EF04" w14:textId="77777777">
            <w:pPr>
              <w:pStyle w:val="1166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190E4732" w14:textId="77777777">
            <w:pPr>
              <w:pStyle w:val="1166"/>
              <w:pBdr/>
              <w:spacing w:after="120" w:line="276" w:lineRule="auto"/>
              <w:ind w:left="170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Etat du matériel</w:t>
            </w:r>
            <w:r>
              <w:rPr>
                <w:rFonts w:ascii="Calibri" w:hAnsi="Calibri" w:cs="Arial"/>
                <w:sz w:val="28"/>
                <w:szCs w:val="28"/>
              </w:rPr>
              <w:t xml:space="preserve"> (vérification rapide et concertée)</w:t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  <w:tc>
          <w:tcPr>
            <w:tcBorders/>
            <w:tcW w:w="5528" w:type="dxa"/>
          </w:tcPr>
          <w:p w14:paraId="53CDFB5D" w14:textId="77777777">
            <w:pPr>
              <w:pStyle w:val="1166"/>
              <w:pBdr/>
              <w:spacing w:line="276" w:lineRule="auto"/>
              <w:ind/>
              <w:jc w:val="center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  <w:p w14:paraId="20311373" w14:textId="77777777">
            <w:pPr>
              <w:pStyle w:val="1166"/>
              <w:pBdr/>
              <w:spacing w:line="48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Matériel complet :    </w:t>
            </w:r>
            <w:r>
              <w:rPr>
                <w:rFonts w:ascii="Calibri" w:hAnsi="Calibri" w:cs="Arial"/>
                <w:sz w:val="28"/>
                <w:szCs w:val="28"/>
              </w:rPr>
              <w:t xml:space="preserve">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 NON</w:t>
            </w:r>
            <w:r>
              <w:rPr>
                <w:rFonts w:ascii="Calibri" w:hAnsi="Calibri" w:cs="Arial"/>
                <w:sz w:val="24"/>
                <w:szCs w:val="24"/>
              </w:rPr>
            </w:r>
            <w:r>
              <w:rPr>
                <w:rFonts w:ascii="Calibri" w:hAnsi="Calibri" w:cs="Arial"/>
                <w:sz w:val="24"/>
                <w:szCs w:val="24"/>
              </w:rPr>
            </w:r>
          </w:p>
          <w:p w14:paraId="097B90A4">
            <w:pPr>
              <w:pStyle w:val="1166"/>
              <w:pBdr/>
              <w:spacing w:after="120" w:line="48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  <w:highlight w:val="none"/>
              </w:rPr>
            </w:r>
            <w:r>
              <w:rPr>
                <w:rFonts w:ascii="Calibri" w:hAnsi="Calibri" w:cs="Arial"/>
                <w:sz w:val="24"/>
                <w:szCs w:val="24"/>
                <w:highlight w:val="none"/>
              </w:rPr>
            </w:r>
            <w:r>
              <w:rPr>
                <w:rFonts w:ascii="Calibri" w:hAnsi="Calibri" w:cs="Arial"/>
                <w:sz w:val="24"/>
                <w:szCs w:val="24"/>
              </w:rPr>
            </w:r>
          </w:p>
          <w:p w14:paraId="15C3F580" w14:textId="77777777">
            <w:pPr>
              <w:pStyle w:val="1166"/>
              <w:pBdr/>
              <w:spacing w:after="120" w:line="480" w:lineRule="auto"/>
              <w:ind w:left="170"/>
              <w:rPr>
                <w:rFonts w:ascii="Calibri" w:hAnsi="Calibri" w:cs="Arial"/>
                <w:sz w:val="24"/>
                <w:szCs w:val="24"/>
                <w:highlight w:val="none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Matériel rangé en l’état : </w:t>
            </w:r>
            <w:r>
              <w:rPr>
                <w:rFonts w:ascii="Calibri" w:hAnsi="Calibri" w:cs="Arial"/>
                <w:sz w:val="28"/>
                <w:szCs w:val="28"/>
              </w:rPr>
              <w:t xml:space="preserve">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NON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  </w:t>
            </w:r>
            <w:r>
              <w:rPr>
                <w:rFonts w:ascii="Calibri" w:hAnsi="Calibri" w:cs="Arial"/>
                <w:sz w:val="24"/>
                <w:szCs w:val="24"/>
                <w:highlight w:val="none"/>
              </w:rPr>
            </w:r>
            <w:r>
              <w:rPr>
                <w:rFonts w:ascii="Calibri" w:hAnsi="Calibri" w:cs="Arial"/>
                <w:sz w:val="24"/>
                <w:szCs w:val="24"/>
                <w:highlight w:val="none"/>
              </w:rPr>
            </w:r>
          </w:p>
        </w:tc>
      </w:tr>
      <w:tr>
        <w:trPr>
          <w:trHeight w:val="1912"/>
        </w:trPr>
        <w:tc>
          <w:tcPr>
            <w:tcBorders/>
            <w:tcW w:w="5246" w:type="dxa"/>
          </w:tcPr>
          <w:p w14:paraId="4544D76C" w14:textId="77777777">
            <w:pPr>
              <w:pStyle w:val="1166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7D0931A2" w14:textId="77777777">
            <w:pPr>
              <w:pStyle w:val="1166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Commentaire</w:t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 associé</w:t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  <w:tc>
          <w:tcPr>
            <w:tcBorders/>
            <w:tcW w:w="5528" w:type="dxa"/>
          </w:tcPr>
          <w:p w14:paraId="64C2072A" w14:textId="77777777">
            <w:pPr>
              <w:pStyle w:val="1166"/>
              <w:pBdr/>
              <w:spacing w:after="120" w:line="276" w:lineRule="auto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</w:tbl>
    <w:p w14:paraId="602A5C8A" w14:textId="77777777">
      <w:pPr>
        <w:pStyle w:val="1166"/>
        <w:pBdr/>
        <w:spacing w:after="120" w:line="276" w:lineRule="auto"/>
        <w:ind w:right="290"/>
        <w:jc w:val="both"/>
        <w:rPr>
          <w:rFonts w:ascii="Calibri" w:hAnsi="Calibri" w:cs="Arial"/>
          <w:b/>
          <w:i/>
          <w:sz w:val="24"/>
          <w:szCs w:val="24"/>
        </w:rPr>
      </w:pPr>
      <w:r>
        <w:rPr>
          <w:rFonts w:ascii="Calibri" w:hAnsi="Calibri" w:cs="Arial"/>
          <w:b/>
          <w:i/>
          <w:sz w:val="24"/>
          <w:szCs w:val="24"/>
        </w:rPr>
      </w:r>
      <w:r>
        <w:rPr>
          <w:rFonts w:ascii="Calibri" w:hAnsi="Calibri" w:cs="Arial"/>
          <w:b/>
          <w:i/>
          <w:sz w:val="24"/>
          <w:szCs w:val="24"/>
        </w:rPr>
      </w:r>
      <w:r>
        <w:rPr>
          <w:rFonts w:ascii="Calibri" w:hAnsi="Calibri" w:cs="Arial"/>
          <w:b/>
          <w:i/>
          <w:sz w:val="24"/>
          <w:szCs w:val="24"/>
        </w:rPr>
      </w:r>
    </w:p>
    <w:p w14:paraId="542D16E4" w14:textId="77777777">
      <w:pPr>
        <w:pStyle w:val="1166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  <w:t xml:space="preserve">Signature : </w:t>
      </w:r>
      <w:r>
        <w:rPr>
          <w:rFonts w:ascii="Calibri" w:hAnsi="Calibri" w:cs="Arial"/>
          <w:b/>
          <w:i/>
          <w:sz w:val="28"/>
          <w:szCs w:val="28"/>
        </w:rPr>
      </w:r>
      <w:r>
        <w:rPr>
          <w:rFonts w:ascii="Calibri" w:hAnsi="Calibri" w:cs="Arial"/>
          <w:b/>
          <w:i/>
          <w:sz w:val="28"/>
          <w:szCs w:val="28"/>
        </w:rPr>
      </w:r>
    </w:p>
    <w:p w14:paraId="60D403DD" w14:textId="77777777">
      <w:pPr>
        <w:pStyle w:val="1166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i/>
          <w:sz w:val="28"/>
          <w:szCs w:val="28"/>
        </w:rPr>
      </w:pP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</w:p>
    <w:p w14:paraId="40A529B9" w14:textId="77777777">
      <w:pPr>
        <w:pStyle w:val="1166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i/>
          <w:sz w:val="28"/>
          <w:szCs w:val="28"/>
        </w:rPr>
      </w:pP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</w:p>
    <w:p w14:paraId="1B3E8264" w14:textId="77777777">
      <w:pPr>
        <w:pStyle w:val="1166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i/>
          <w:sz w:val="28"/>
          <w:szCs w:val="28"/>
        </w:rPr>
      </w:pP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</w:p>
    <w:p w14:paraId="481CE42F" w14:textId="77777777">
      <w:pPr>
        <w:pStyle w:val="1166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color w:val="ff0000"/>
          <w:sz w:val="28"/>
          <w:szCs w:val="28"/>
        </w:rPr>
      </w:pPr>
      <w:r>
        <w:rPr>
          <w:rFonts w:ascii="Calibri" w:hAnsi="Calibri" w:cs="Arial"/>
          <w:i/>
          <w:color w:val="ff0000"/>
          <w:sz w:val="28"/>
          <w:szCs w:val="28"/>
        </w:rPr>
        <w:t xml:space="preserve">Sous un délai de 72h après restitution du matériel, L’équipe du RECIT peut être amenée à revenir vers vous si un dégât ou perte est </w:t>
      </w:r>
      <w:r>
        <w:rPr>
          <w:rFonts w:ascii="Calibri" w:hAnsi="Calibri" w:cs="Arial"/>
          <w:i/>
          <w:color w:val="ff0000"/>
          <w:sz w:val="28"/>
          <w:szCs w:val="28"/>
        </w:rPr>
        <w:t xml:space="preserve">constaté·e</w:t>
      </w:r>
      <w:r>
        <w:rPr>
          <w:rFonts w:ascii="Calibri" w:hAnsi="Calibri" w:cs="Arial"/>
          <w:i/>
          <w:color w:val="ff0000"/>
          <w:sz w:val="28"/>
          <w:szCs w:val="28"/>
        </w:rPr>
        <w:t xml:space="preserve"> ultérieurement. Un remboursement/remplacement de la pièce / des pièces sera envisagé.</w:t>
      </w:r>
      <w:r>
        <w:rPr>
          <w:rFonts w:ascii="Calibri" w:hAnsi="Calibri" w:cs="Arial"/>
          <w:b/>
          <w:i/>
          <w:color w:val="ff0000"/>
          <w:sz w:val="28"/>
          <w:szCs w:val="28"/>
        </w:rPr>
      </w:r>
      <w:r>
        <w:rPr>
          <w:rFonts w:ascii="Calibri" w:hAnsi="Calibri" w:cs="Arial"/>
          <w:b/>
          <w:i/>
          <w:color w:val="ff0000"/>
          <w:sz w:val="28"/>
          <w:szCs w:val="28"/>
        </w:rPr>
      </w:r>
    </w:p>
    <w:p w14:paraId="176ABF36" w14:textId="77777777">
      <w:pPr>
        <w:pStyle w:val="1166"/>
        <w:pBdr/>
        <w:tabs>
          <w:tab w:val="left" w:leader="none" w:pos="9064"/>
        </w:tabs>
        <w:spacing w:after="120" w:line="276" w:lineRule="auto"/>
        <w:ind w:right="-1001"/>
        <w:rPr>
          <w:rFonts w:ascii="Calibri" w:hAnsi="Calibri" w:cs="Arial"/>
          <w:color w:val="5f497a" w:themeColor="accent4" w:themeShade="BF"/>
          <w:sz w:val="24"/>
          <w:szCs w:val="24"/>
        </w:rPr>
      </w:pPr>
      <w:r>
        <w:rPr>
          <w:rFonts w:ascii="Calibri" w:hAnsi="Calibri" w:cs="Arial"/>
          <w:color w:val="5f497a" w:themeColor="accent4" w:themeShade="BF"/>
          <w:sz w:val="24"/>
          <w:szCs w:val="24"/>
        </w:rPr>
      </w:r>
      <w:r>
        <w:rPr>
          <w:rFonts w:ascii="Calibri" w:hAnsi="Calibri" w:cs="Arial"/>
          <w:color w:val="5f497a" w:themeColor="accent4" w:themeShade="BF"/>
          <w:sz w:val="24"/>
          <w:szCs w:val="24"/>
        </w:rPr>
      </w:r>
      <w:r>
        <w:rPr>
          <w:rFonts w:ascii="Calibri" w:hAnsi="Calibri" w:cs="Arial"/>
          <w:color w:val="5f497a" w:themeColor="accent4" w:themeShade="BF"/>
          <w:sz w:val="24"/>
          <w:szCs w:val="24"/>
        </w:rPr>
      </w:r>
    </w:p>
    <w:p w14:paraId="12C76BBD" w14:textId="77777777">
      <w:pPr>
        <w:pBdr/>
        <w:spacing w:line="276" w:lineRule="auto"/>
        <w:ind/>
        <w:jc w:val="center"/>
        <w:rPr>
          <w:rFonts w:ascii="Arial" w:hAnsi="Arial" w:cs="Arial"/>
          <w:sz w:val="16"/>
          <w:szCs w:val="16"/>
          <w:highlight w:val="yellow"/>
        </w:rPr>
      </w:pPr>
      <w:r/>
      <w:bookmarkStart w:id="0" w:name="_GoBack"/>
      <w:r/>
      <w:bookmarkEnd w:id="0"/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h="16840" w:orient="portrait" w:w="11900"/>
      <w:pgMar w:top="1417" w:right="1417" w:bottom="1417" w:left="1417" w:header="567" w:footer="85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1CFD863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20FA9F47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ple Symbols">
    <w:panose1 w:val="02000503050000020004"/>
  </w:font>
  <w:font w:name="Walkway Black">
    <w:panose1 w:val="02000503050000020004"/>
  </w:font>
  <w:font w:name="Tahoma">
    <w:panose1 w:val="020B060403050404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Verdana">
    <w:panose1 w:val="020B0604030504040204"/>
  </w:font>
  <w:font w:name="Lucida Grande">
    <w:panose1 w:val="02000503050000020004"/>
  </w:font>
  <w:font w:name="Walkway Bold">
    <w:panose1 w:val="02000503050000020004"/>
  </w:font>
  <w:font w:name="Helvetica">
    <w:panose1 w:val="020B0604020202020204"/>
  </w:font>
  <w:font w:name="Calibri">
    <w:panose1 w:val="020F0502020204030204"/>
  </w:font>
  <w:font w:name="ヒラギノ角ゴ Pro W3">
    <w:panose1 w:val="020005030500000200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AF8EAA" w14:textId="77777777">
    <w:pPr>
      <w:pStyle w:val="1170"/>
      <w:framePr w:hAnchor="margin" w:vAnchor="text" w:wrap="around" w:xAlign="right" w:y="1"/>
      <w:pBdr/>
      <w:spacing/>
      <w:ind/>
      <w:rPr>
        <w:rStyle w:val="1172"/>
        <w:rFonts w:asciiTheme="majorHAnsi" w:hAnsiTheme="majorHAnsi"/>
        <w:sz w:val="20"/>
        <w:szCs w:val="20"/>
      </w:rPr>
    </w:pPr>
    <w:r>
      <w:rPr>
        <w:rStyle w:val="1172"/>
        <w:rFonts w:asciiTheme="majorHAnsi" w:hAnsiTheme="majorHAnsi"/>
        <w:sz w:val="20"/>
        <w:szCs w:val="20"/>
      </w:rPr>
      <w:fldChar w:fldCharType="begin"/>
    </w:r>
    <w:r>
      <w:rPr>
        <w:rStyle w:val="1172"/>
        <w:rFonts w:asciiTheme="majorHAnsi" w:hAnsiTheme="majorHAnsi"/>
        <w:sz w:val="20"/>
        <w:szCs w:val="20"/>
      </w:rPr>
      <w:instrText xml:space="preserve">PAGE  </w:instrText>
    </w:r>
    <w:r>
      <w:rPr>
        <w:rStyle w:val="1172"/>
        <w:rFonts w:asciiTheme="majorHAnsi" w:hAnsiTheme="majorHAnsi"/>
        <w:sz w:val="20"/>
        <w:szCs w:val="20"/>
      </w:rPr>
      <w:fldChar w:fldCharType="separate"/>
    </w:r>
    <w:r>
      <w:rPr>
        <w:rStyle w:val="1172"/>
        <w:rFonts w:asciiTheme="majorHAnsi" w:hAnsiTheme="majorHAnsi"/>
        <w:sz w:val="20"/>
        <w:szCs w:val="20"/>
      </w:rPr>
      <w:t xml:space="preserve">5</w:t>
    </w:r>
    <w:r>
      <w:rPr>
        <w:rStyle w:val="1172"/>
        <w:rFonts w:asciiTheme="majorHAnsi" w:hAnsiTheme="majorHAnsi"/>
        <w:sz w:val="20"/>
        <w:szCs w:val="20"/>
      </w:rPr>
      <w:fldChar w:fldCharType="end"/>
    </w:r>
    <w:r>
      <w:rPr>
        <w:rStyle w:val="1172"/>
        <w:rFonts w:asciiTheme="majorHAnsi" w:hAnsiTheme="majorHAnsi"/>
        <w:sz w:val="20"/>
        <w:szCs w:val="20"/>
      </w:rPr>
    </w:r>
    <w:r>
      <w:rPr>
        <w:rStyle w:val="1172"/>
        <w:rFonts w:asciiTheme="majorHAnsi" w:hAnsiTheme="majorHAnsi"/>
        <w:sz w:val="20"/>
        <w:szCs w:val="20"/>
      </w:rPr>
    </w:r>
  </w:p>
  <w:p w14:paraId="270EDFE1" w14:textId="024ED348">
    <w:pPr>
      <w:pStyle w:val="1170"/>
      <w:pBdr/>
      <w:spacing/>
      <w:ind w:right="360"/>
      <w:jc w:val="cent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 xml:space="preserve">Convention de prêt malle pré-cinéma</w:t>
    </w:r>
    <w:r>
      <w:rPr>
        <w:rFonts w:asciiTheme="majorHAnsi" w:hAnsiTheme="majorHAnsi"/>
        <w:sz w:val="20"/>
        <w:szCs w:val="20"/>
      </w:rPr>
    </w:r>
    <w:r>
      <w:rPr>
        <w:rFonts w:asciiTheme="majorHAnsi" w:hAnsiTheme="majorHAnsi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67E5BCA" w14:textId="77777777">
    <w:pPr>
      <w:pStyle w:val="1170"/>
      <w:framePr w:hAnchor="margin" w:vAnchor="text" w:wrap="around" w:xAlign="right" w:y="1"/>
      <w:pBdr/>
      <w:spacing/>
      <w:ind/>
      <w:rPr>
        <w:rStyle w:val="1172"/>
      </w:rPr>
    </w:pPr>
    <w:r>
      <w:rPr>
        <w:rStyle w:val="1172"/>
      </w:rPr>
      <w:fldChar w:fldCharType="begin"/>
    </w:r>
    <w:r>
      <w:rPr>
        <w:rStyle w:val="1172"/>
      </w:rPr>
      <w:instrText xml:space="preserve">PAGE  </w:instrText>
    </w:r>
    <w:r>
      <w:rPr>
        <w:rStyle w:val="1172"/>
      </w:rPr>
      <w:fldChar w:fldCharType="end"/>
    </w:r>
    <w:r>
      <w:rPr>
        <w:rStyle w:val="1172"/>
      </w:rPr>
    </w:r>
    <w:r>
      <w:rPr>
        <w:rStyle w:val="1172"/>
      </w:rPr>
    </w:r>
  </w:p>
  <w:p w14:paraId="48324943" w14:textId="77777777">
    <w:pPr>
      <w:pStyle w:val="1164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 w:right="360"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ORAVEO Sarl au capital de 5 000 € - 524 055 191 RCS Lyon</w:t>
    </w:r>
    <w:r>
      <w:rPr>
        <w:rFonts w:ascii="Walkway Bold" w:hAnsi="Walkway Bold"/>
        <w:color w:val="a6a6a6"/>
        <w:sz w:val="16"/>
      </w:rPr>
    </w:r>
    <w:r>
      <w:rPr>
        <w:rFonts w:ascii="Walkway Bold" w:hAnsi="Walkway Bold"/>
        <w:color w:val="a6a6a6"/>
        <w:sz w:val="16"/>
      </w:rPr>
    </w:r>
  </w:p>
  <w:p w14:paraId="4C31747E" w14:textId="77777777">
    <w:pPr>
      <w:pStyle w:val="1164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15, rue de BREST – 69002 Lyon – France</w:t>
    </w:r>
    <w:r>
      <w:rPr>
        <w:rFonts w:ascii="Walkway Bold" w:hAnsi="Walkway Bold"/>
        <w:color w:val="a6a6a6"/>
        <w:sz w:val="16"/>
      </w:rPr>
      <w:t xml:space="preserve"> - </w:t>
    </w:r>
    <w:hyperlink r:id="rId1" w:tooltip="mailto:contact@oraveo.com" w:history="1">
      <w:r>
        <w:rPr>
          <w:rStyle w:val="1165"/>
          <w:rFonts w:ascii="Walkway Bold" w:hAnsi="Walkway Bold"/>
          <w:color w:val="a6a6a6"/>
          <w:sz w:val="16"/>
        </w:rPr>
        <w:t xml:space="preserve">contact@oraveo.com</w:t>
      </w:r>
    </w:hyperlink>
    <w:r>
      <w:rPr>
        <w:rFonts w:ascii="Walkway Bold" w:hAnsi="Walkway Bold"/>
        <w:color w:val="a6a6a6"/>
        <w:sz w:val="16"/>
      </w:rPr>
      <w:t xml:space="preserve"> - </w:t>
    </w:r>
    <w:hyperlink r:id="rId2" w:tooltip="http://www.oraveo.com" w:history="1">
      <w:r>
        <w:rPr>
          <w:rStyle w:val="1165"/>
          <w:rFonts w:ascii="Walkway Bold" w:hAnsi="Walkway Bold"/>
          <w:color w:val="a6a6a6"/>
          <w:sz w:val="16"/>
        </w:rPr>
        <w:t xml:space="preserve">www.oraveo.com</w:t>
      </w:r>
    </w:hyperlink>
    <w:r>
      <w:rPr>
        <w:rFonts w:ascii="Walkway Bold" w:hAnsi="Walkway Bold"/>
        <w:color w:val="a6a6a6"/>
        <w:sz w:val="16"/>
      </w:rPr>
      <w:t xml:space="preserve"> </w:t>
    </w:r>
    <w:r>
      <w:rPr>
        <w:rFonts w:ascii="Walkway Bold" w:hAnsi="Walkway Bold"/>
        <w:color w:val="a6a6a6"/>
        <w:sz w:val="16"/>
      </w:rPr>
    </w:r>
    <w:r>
      <w:rPr>
        <w:rFonts w:ascii="Walkway Bold" w:hAnsi="Walkway Bold"/>
        <w:color w:val="a6a6a6"/>
        <w:sz w:val="16"/>
      </w:rPr>
    </w:r>
  </w:p>
  <w:p w14:paraId="204EE7DB" w14:textId="77777777">
    <w:pPr>
      <w:pStyle w:val="1164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eastAsia="Times New Roman"/>
        <w:color w:val="auto"/>
      </w:rPr>
    </w:pPr>
    <w:r>
      <w:rPr>
        <w:rFonts w:eastAsia="Times New Roman"/>
        <w:color w:val="auto"/>
      </w:rPr>
    </w:r>
    <w:r>
      <w:rPr>
        <w:rFonts w:eastAsia="Times New Roman"/>
        <w:color w:val="auto"/>
      </w:rPr>
    </w:r>
    <w:r>
      <w:rPr>
        <w:rFonts w:eastAsia="Times New Roman"/>
        <w:color w:val="auto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5BD9501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7D7B1E29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67AF390" w14:textId="3D670542">
    <w:pPr>
      <w:pStyle w:val="1173"/>
      <w:pBdr/>
      <w:spacing/>
      <w:ind/>
      <w:jc w:val="right"/>
      <w:rPr/>
    </w:pPr>
    <w:r>
      <w:rPr>
        <w:lang w:eastAsia="fr-F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772160" cy="395630"/>
              <wp:effectExtent l="0" t="0" r="0" b="10795"/>
              <wp:docPr id="1" name="Image 2" descr="Macintosh HD:Users:preafca-pi:Desktop:ALSACE CINEMAS:LOGOS POLE PI ET STRUCTURES PARTENAIRES:LE RÉCIT 2018:Logo baseline JPEG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Macintosh HD:Users:preafca-pi:Desktop:ALSACE CINEMAS:LOGOS POLE PI ET STRUCTURES PARTENAIRES:LE RÉCIT 2018:Logo baseline JPEG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73317" cy="3962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0.80pt;height:31.15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  <w:p w14:paraId="467280FC" w14:textId="47E657C7">
    <w:pPr>
      <w:pStyle w:val="117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100" w:type="dxa"/>
      <w:tblW w:w="0" w:type="auto"/>
      <w:tblBorders/>
      <w:tblLayout w:type="fixed"/>
      <w:tblLook w:val="0000" w:firstRow="0" w:lastRow="0" w:firstColumn="0" w:lastColumn="0" w:noHBand="0" w:noVBand="0"/>
    </w:tblPr>
    <w:tblGrid>
      <w:gridCol w:w="1604"/>
      <w:gridCol w:w="1526"/>
      <w:gridCol w:w="1457"/>
      <w:gridCol w:w="801"/>
      <w:gridCol w:w="1029"/>
      <w:gridCol w:w="1645"/>
      <w:gridCol w:w="1025"/>
      <w:gridCol w:w="539"/>
    </w:tblGrid>
    <w:tr>
      <w:trPr>
        <w:cantSplit/>
        <w:trHeight w:val="6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7EBF692E" w14:textId="77777777">
          <w:pPr>
            <w:pStyle w:val="1163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end"/>
          </w:r>
          <w:r>
            <w:fldChar w:fldCharType="end"/>
          </w:r>
          <w:r/>
        </w:p>
      </w:tc>
      <w:tc>
        <w:tcPr>
          <w:gridSpan w:val="6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6496" w:type="dxa"/>
          <w:vAlign w:val="center"/>
        </w:tcPr>
        <w:p w14:paraId="1032FF34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708"/>
              <w:tab w:val="left" w:leader="none" w:pos="1416"/>
              <w:tab w:val="left" w:leader="none" w:pos="2124"/>
              <w:tab w:val="left" w:leader="none" w:pos="2832"/>
              <w:tab w:val="left" w:leader="none" w:pos="3540"/>
              <w:tab w:val="left" w:leader="none" w:pos="4248"/>
              <w:tab w:val="left" w:leader="none" w:pos="4956"/>
              <w:tab w:val="left" w:leader="none" w:pos="5664"/>
              <w:tab w:val="left" w:leader="none" w:pos="6372"/>
              <w:tab w:val="left" w:leader="none" w:pos="7080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pacing w:val="28"/>
              <w:sz w:val="28"/>
              <w:szCs w:val="22"/>
            </w:rPr>
          </w:pPr>
          <w:r>
            <w:rPr>
              <w:rFonts w:ascii="Walkway Black" w:hAnsi="Walkway Black"/>
              <w:spacing w:val="28"/>
              <w:sz w:val="28"/>
              <w:szCs w:val="22"/>
            </w:rPr>
            <w:t xml:space="preserve">Document de travail - associatheque.fr</w:t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</w:p>
        <w:p w14:paraId="0F751A2D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-19516"/>
              <w:tab w:val="left" w:leader="none" w:pos="-18808"/>
              <w:tab w:val="left" w:leader="none" w:pos="-18100"/>
              <w:tab w:val="left" w:leader="none" w:pos="-17392"/>
              <w:tab w:val="left" w:leader="none" w:pos="-16684"/>
              <w:tab w:val="left" w:leader="none" w:pos="-15976"/>
              <w:tab w:val="left" w:leader="none" w:pos="-15268"/>
              <w:tab w:val="left" w:leader="none" w:pos="-14560"/>
              <w:tab w:val="left" w:leader="none" w:pos="-13852"/>
              <w:tab w:val="left" w:leader="none" w:pos="7655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pacing w:val="28"/>
              <w:sz w:val="28"/>
              <w:szCs w:val="22"/>
            </w:rPr>
          </w:pPr>
          <w:r>
            <w:rPr>
              <w:rFonts w:ascii="Walkway Bold" w:hAnsi="Walkway Bold"/>
              <w:spacing w:val="28"/>
              <w:sz w:val="28"/>
              <w:szCs w:val="22"/>
            </w:rPr>
            <w:t xml:space="preserve">Convention de mécénat type</w:t>
          </w:r>
          <w:r>
            <w:rPr>
              <w:rFonts w:ascii="Walkway Bold" w:hAnsi="Walkway Bold"/>
              <w:spacing w:val="28"/>
              <w:sz w:val="28"/>
              <w:szCs w:val="22"/>
            </w:rPr>
          </w:r>
          <w:r>
            <w:rPr>
              <w:rFonts w:ascii="Walkway Bold" w:hAnsi="Walkway Bold"/>
              <w:spacing w:val="28"/>
              <w:sz w:val="28"/>
              <w:szCs w:val="22"/>
            </w:rPr>
          </w:r>
        </w:p>
      </w:tc>
    </w:tr>
    <w:tr>
      <w:trPr>
        <w:cantSplit/>
        <w:trHeight w:val="220"/>
      </w:trPr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04" w:type="dxa"/>
        </w:tcPr>
        <w:p w14:paraId="5328702D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Date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25" w:type="dxa"/>
          <w:vAlign w:val="center"/>
        </w:tcPr>
        <w:p w14:paraId="51643EF8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16/08/10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457" w:type="dxa"/>
        </w:tcPr>
        <w:p w14:paraId="0DD09B05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Niv</w:t>
          </w:r>
          <w:r>
            <w:rPr>
              <w:rFonts w:ascii="Walkway Black" w:hAnsi="Walkway Black"/>
              <w:sz w:val="20"/>
            </w:rPr>
            <w:t xml:space="preserve">. Diffusion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800" w:type="dxa"/>
          <w:vAlign w:val="center"/>
        </w:tcPr>
        <w:p w14:paraId="16D7CA03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9" w:type="dxa"/>
          <w:vAlign w:val="center"/>
        </w:tcPr>
        <w:p w14:paraId="6F6D9B98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</w:tabs>
            <w:spacing/>
            <w:ind/>
            <w:jc w:val="center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Réf. :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45" w:type="dxa"/>
          <w:vAlign w:val="center"/>
        </w:tcPr>
        <w:p w14:paraId="5AF7137F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z w:val="18"/>
            </w:rPr>
          </w:pPr>
          <w:r>
            <w:rPr>
              <w:rFonts w:ascii="Walkway Bold" w:hAnsi="Walkway Bold"/>
              <w:sz w:val="18"/>
            </w:rPr>
            <w:t xml:space="preserve">100809-1</w:t>
          </w:r>
          <w:r>
            <w:rPr>
              <w:rFonts w:ascii="Walkway Bold" w:hAnsi="Walkway Bold"/>
              <w:sz w:val="18"/>
            </w:rPr>
          </w:r>
          <w:r>
            <w:rPr>
              <w:rFonts w:ascii="Walkway Bold" w:hAnsi="Walkway Bold"/>
              <w:sz w:val="18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5" w:type="dxa"/>
        </w:tcPr>
        <w:p w14:paraId="53B3E3F3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</w:tabs>
            <w:spacing/>
            <w:ind/>
            <w:jc w:val="right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Version 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538" w:type="dxa"/>
          <w:vAlign w:val="center"/>
        </w:tcPr>
        <w:p w14:paraId="373CC1F0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</w:tabs>
            <w:spacing/>
            <w:ind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1.0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</w:tr>
    <w:tr>
      <w:trPr>
        <w:cantSplit/>
        <w:trHeight w:val="2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6F12417A" w14:textId="77777777">
          <w:pPr>
            <w:pStyle w:val="1163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Emplacement de fichier</w:t>
          </w:r>
          <w:r>
            <w:rPr>
              <w:rFonts w:ascii="Walkway Black" w:hAnsi="Walkway Black"/>
              <w:sz w:val="18"/>
            </w:rPr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258" w:type="dxa"/>
        </w:tcPr>
        <w:p w14:paraId="2A66D5A4" w14:textId="77777777">
          <w:pPr>
            <w:pStyle w:val="1163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/>
          <w:r/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674" w:type="dxa"/>
          <w:vAlign w:val="center"/>
        </w:tcPr>
        <w:p w14:paraId="461EB2D8" w14:textId="77777777">
          <w:pPr>
            <w:pStyle w:val="1163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Nom de fichier</w:t>
          </w:r>
          <w:r>
            <w:rPr>
              <w:rFonts w:ascii="Walkway Black" w:hAnsi="Walkway Black"/>
              <w:sz w:val="18"/>
            </w:rPr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63" w:type="dxa"/>
        </w:tcPr>
        <w:p w14:paraId="22BFE023" w14:textId="77777777">
          <w:pPr>
            <w:pStyle w:val="1163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</w:tabs>
            <w:spacing/>
            <w:ind/>
            <w:jc w:val="right"/>
            <w:rPr/>
          </w:pPr>
          <w:r/>
          <w:r/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0" w:left="560"/>
      </w:pPr>
      <w:rPr>
        <w:rFonts w:hint="default"/>
        <w:position w:val="-2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360" w:left="560"/>
      </w:pPr>
      <w:rPr>
        <w:rFonts w:hint="default"/>
        <w:position w:val="-2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720" w:left="560"/>
      </w:pPr>
      <w:rPr>
        <w:rFonts w:hint="default"/>
        <w:position w:val="-2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080" w:left="560"/>
      </w:pPr>
      <w:rPr>
        <w:rFonts w:hint="default"/>
        <w:position w:val="-2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440" w:left="560"/>
      </w:pPr>
      <w:rPr>
        <w:rFonts w:hint="default"/>
        <w:position w:val="-2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800" w:left="560"/>
      </w:pPr>
      <w:rPr>
        <w:rFonts w:hint="default"/>
        <w:position w:val="-2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160" w:left="560"/>
      </w:pPr>
      <w:rPr>
        <w:rFonts w:hint="default"/>
        <w:position w:val="-2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520" w:left="560"/>
      </w:pPr>
      <w:rPr>
        <w:rFonts w:hint="default"/>
        <w:position w:val="-2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880" w:left="560"/>
      </w:pPr>
      <w:rPr>
        <w:rFonts w:hint="default"/>
        <w:position w:val="-2"/>
      </w:rPr>
      <w:start w:val="1"/>
      <w:suff w:val="tab"/>
    </w:lvl>
  </w:abstractNum>
  <w:abstractNum w:abstractNumId="1">
    <w:nsid w:val="00000002"/>
    <w:lvl w:ilvl="0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0" w:left="560"/>
      </w:pPr>
      <w:rPr>
        <w:rFonts w:hint="default"/>
        <w:position w:val="-2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360" w:left="560"/>
      </w:pPr>
      <w:rPr>
        <w:rFonts w:hint="default"/>
        <w:position w:val="-2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720" w:left="560"/>
      </w:pPr>
      <w:rPr>
        <w:rFonts w:hint="default"/>
        <w:position w:val="-2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080" w:left="560"/>
      </w:pPr>
      <w:rPr>
        <w:rFonts w:hint="default"/>
        <w:position w:val="-2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440" w:left="560"/>
      </w:pPr>
      <w:rPr>
        <w:rFonts w:hint="default"/>
        <w:position w:val="-2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800" w:left="560"/>
      </w:pPr>
      <w:rPr>
        <w:rFonts w:hint="default"/>
        <w:position w:val="-2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160" w:left="560"/>
      </w:pPr>
      <w:rPr>
        <w:rFonts w:hint="default"/>
        <w:position w:val="-2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520" w:left="560"/>
      </w:pPr>
      <w:rPr>
        <w:rFonts w:hint="default"/>
        <w:position w:val="-2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880" w:left="560"/>
      </w:pPr>
      <w:rPr>
        <w:rFonts w:hint="default"/>
        <w:position w:val="-2"/>
      </w:rPr>
      <w:start w:val="1"/>
      <w:suff w:val="tab"/>
    </w:lvl>
  </w:abstractNum>
  <w:abstractNum w:abstractNumId="2">
    <w:nsid w:val="00000003"/>
    <w:lvl w:ilvl="0">
      <w:isLgl w:val="false"/>
      <w:lvlJc w:val="left"/>
      <w:lvlText w:val="•"/>
      <w:numFmt w:val="bullet"/>
      <w:pPr>
        <w:pBdr/>
        <w:spacing/>
        <w:ind w:firstLine="0" w:left="0"/>
      </w:pPr>
      <w:rPr>
        <w:rFonts w:hint="default"/>
        <w:position w:val="0"/>
      </w:rPr>
      <w:start w:val="0"/>
      <w:suff w:val="nothing"/>
    </w:lvl>
    <w:lvl w:ilvl="1">
      <w:isLgl w:val="false"/>
      <w:lvlJc w:val="left"/>
      <w:lvlText w:val=""/>
      <w:numFmt w:val="bullet"/>
      <w:pPr>
        <w:pBdr/>
        <w:tabs>
          <w:tab w:val="num" w:leader="none" w:pos="720"/>
        </w:tabs>
        <w:spacing/>
        <w:ind w:firstLine="0" w:left="720"/>
      </w:pPr>
      <w:rPr>
        <w:rFonts w:hint="default"/>
        <w:position w:val="0"/>
      </w:rPr>
      <w:start w:val="1"/>
      <w:suff w:val="tab"/>
    </w:lvl>
    <w:lvl w:ilvl="2">
      <w:isLgl w:val="false"/>
      <w:lvlJc w:val="left"/>
      <w:lvlText w:val=""/>
      <w:numFmt w:val="bullet"/>
      <w:pPr>
        <w:pBdr/>
        <w:tabs>
          <w:tab w:val="num" w:leader="none" w:pos="1440"/>
        </w:tabs>
        <w:spacing/>
        <w:ind w:firstLine="0" w:left="1440"/>
      </w:pPr>
      <w:rPr>
        <w:rFonts w:hint="default"/>
        <w:position w:val="0"/>
      </w:rPr>
      <w:start w:val="1"/>
      <w:suff w:val="tab"/>
    </w:lvl>
    <w:lvl w:ilvl="3">
      <w:isLgl w:val="false"/>
      <w:lvlJc w:val="left"/>
      <w:lvlText w:val=""/>
      <w:numFmt w:val="bullet"/>
      <w:pPr>
        <w:pBdr/>
        <w:tabs>
          <w:tab w:val="num" w:leader="none" w:pos="2160"/>
        </w:tabs>
        <w:spacing/>
        <w:ind w:firstLine="0" w:left="2160"/>
      </w:pPr>
      <w:rPr>
        <w:rFonts w:hint="default"/>
        <w:position w:val="0"/>
      </w:rPr>
      <w:start w:val="1"/>
      <w:suff w:val="tab"/>
    </w:lvl>
    <w:lvl w:ilvl="4">
      <w:isLgl w:val="false"/>
      <w:lvlJc w:val="left"/>
      <w:lvlText w:val=""/>
      <w:numFmt w:val="bullet"/>
      <w:pPr>
        <w:pBdr/>
        <w:tabs>
          <w:tab w:val="num" w:leader="none" w:pos="2880"/>
        </w:tabs>
        <w:spacing/>
        <w:ind w:firstLine="0" w:left="2880"/>
      </w:pPr>
      <w:rPr>
        <w:rFonts w:hint="default"/>
        <w:position w:val="0"/>
      </w:rPr>
      <w:start w:val="1"/>
      <w:suff w:val="tab"/>
    </w:lvl>
    <w:lvl w:ilvl="5">
      <w:isLgl w:val="false"/>
      <w:lvlJc w:val="left"/>
      <w:lvlText w:val=""/>
      <w:numFmt w:val="bullet"/>
      <w:pPr>
        <w:pBdr/>
        <w:tabs>
          <w:tab w:val="num" w:leader="none" w:pos="3600"/>
        </w:tabs>
        <w:spacing/>
        <w:ind w:firstLine="0" w:left="3600"/>
      </w:pPr>
      <w:rPr>
        <w:rFonts w:hint="default"/>
        <w:position w:val="0"/>
      </w:rPr>
      <w:start w:val="1"/>
      <w:suff w:val="tab"/>
    </w:lvl>
    <w:lvl w:ilvl="6">
      <w:isLgl w:val="false"/>
      <w:lvlJc w:val="left"/>
      <w:lvlText w:val=""/>
      <w:numFmt w:val="bullet"/>
      <w:pPr>
        <w:pBdr/>
        <w:tabs>
          <w:tab w:val="num" w:leader="none" w:pos="4320"/>
        </w:tabs>
        <w:spacing/>
        <w:ind w:firstLine="0" w:left="4320"/>
      </w:pPr>
      <w:rPr>
        <w:rFonts w:hint="default"/>
        <w:position w:val="0"/>
      </w:rPr>
      <w:start w:val="1"/>
      <w:suff w:val="tab"/>
    </w:lvl>
    <w:lvl w:ilvl="7">
      <w:isLgl w:val="false"/>
      <w:lvlJc w:val="left"/>
      <w:lvlText w:val=""/>
      <w:numFmt w:val="bullet"/>
      <w:pPr>
        <w:pBdr/>
        <w:tabs>
          <w:tab w:val="num" w:leader="none" w:pos="5040"/>
        </w:tabs>
        <w:spacing/>
        <w:ind w:firstLine="0" w:left="5040"/>
      </w:pPr>
      <w:rPr>
        <w:rFonts w:hint="default"/>
        <w:position w:val="0"/>
      </w:rPr>
      <w:start w:val="1"/>
      <w:suff w:val="tab"/>
    </w:lvl>
    <w:lvl w:ilvl="8">
      <w:isLgl w:val="false"/>
      <w:lvlJc w:val="left"/>
      <w:lvlText w:val=""/>
      <w:numFmt w:val="bullet"/>
      <w:pPr>
        <w:pBdr/>
        <w:tabs>
          <w:tab w:val="num" w:leader="none" w:pos="5760"/>
        </w:tabs>
        <w:spacing/>
        <w:ind w:firstLine="0" w:left="5760"/>
      </w:pPr>
      <w:rPr>
        <w:rFonts w:hint="default"/>
        <w:position w:val="0"/>
      </w:rPr>
      <w:start w:val="1"/>
      <w:suff w:val="tab"/>
    </w:lvl>
  </w:abstractNum>
  <w:abstractNum w:abstractNumId="3">
    <w:nsid w:val="050B2947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erdana" w:hAnsi="Verdana" w:eastAsia="ヒラギノ角ゴ Pro W3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135A1D2F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5">
    <w:nsid w:val="477A689D"/>
    <w:lvl w:ilvl="0">
      <w:isLgl w:val="false"/>
      <w:lvlJc w:val="left"/>
      <w:lvlText w:val=""/>
      <w:numFmt w:val="bullet"/>
      <w:pPr>
        <w:pBdr/>
        <w:spacing/>
        <w:ind w:hanging="360" w:left="720"/>
      </w:pPr>
      <w:rPr>
        <w:rFonts w:hint="default" w:ascii="Tahoma" w:hAnsi="Tahoma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4D84079B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ヒラギノ角ゴ Pro W3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76DC3842"/>
    <w:lvl w:ilvl="0">
      <w:isLgl w:val="false"/>
      <w:lvlJc w:val="left"/>
      <w:lvlText w:val=""/>
      <w:numFmt w:val="bullet"/>
      <w:pPr>
        <w:pBdr/>
        <w:spacing/>
        <w:ind w:hanging="360" w:left="720"/>
      </w:pPr>
      <w:rPr>
        <w:rFonts w:hint="default" w:ascii="Tahoma" w:hAnsi="Tahoma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77">
    <w:name w:val="Table Grid Light"/>
    <w:basedOn w:val="11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Plain Table 1"/>
    <w:basedOn w:val="11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Plain Table 2"/>
    <w:basedOn w:val="11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Plain Table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Plain Table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Plain Table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Grid Table 1 Light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Grid Table 1 Light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Grid Table 1 Light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Grid Table 1 Light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Grid Table 1 Light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Grid Table 1 Light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Grid Table 1 Light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Grid Table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Grid Table 2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2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2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2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2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2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3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3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3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3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3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3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4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4 - Accent 1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4 - Accent 2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4 - Accent 3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4 - Accent 4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4 - Accent 5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4 - Accent 6"/>
    <w:basedOn w:val="11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5 Dark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5 Dark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5 Dark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5 Dark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5 Dark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5 Dark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5 Dark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6 Colorful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6 Colorful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6 Colorful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6 Colorful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6 Colorful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6 Colorful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6 Colorful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7 Colorful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7 Colorful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7 Colorful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7 Colorful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7 Colorful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7 Colorful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7 Colorful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List Table 1 Light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List Table 1 Light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List Table 1 Light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List Table 1 Light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List Table 1 Light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List Table 1 Light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List Table 1 Light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List Table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List Table 2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2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2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2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2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2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3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3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3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3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3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3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4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4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4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4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4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4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5 Dark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5 Dark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5 Dark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5 Dark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5 Dark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5 Dark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5 Dark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6 Colorful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6 Colorful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6 Colorful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6 Colorful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6 Colorful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6 Colorful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6 Colorful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7 Colorful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7 Colorful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7 Colorful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7 Colorful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7 Colorful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7 Colorful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7 Colorful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ned - Accent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ned - Accent 1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ned - Accent 2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ned - Accent 3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ned - Accent 4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ned - Accent 5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ned - Accent 6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Bordered &amp; Lined - Accent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Bordered &amp; Lined - Accent 1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Bordered &amp; Lined - Accent 2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Bordered &amp; Lined - Accent 3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Bordered &amp; Lined - Accent 4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Bordered &amp; Lined - Accent 5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Bordered &amp; Lined - Accent 6"/>
    <w:basedOn w:val="11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Bordered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Bordered - Accent 1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Bordered - Accent 2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Bordered - Accent 3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Bordered - Accent 4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Bordered - Accent 5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Bordered - Accent 6"/>
    <w:basedOn w:val="11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02">
    <w:name w:val="Heading 1"/>
    <w:basedOn w:val="1159"/>
    <w:next w:val="1159"/>
    <w:link w:val="111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103">
    <w:name w:val="Heading 2"/>
    <w:basedOn w:val="1159"/>
    <w:next w:val="1159"/>
    <w:link w:val="111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104">
    <w:name w:val="Heading 3"/>
    <w:basedOn w:val="1159"/>
    <w:next w:val="1159"/>
    <w:link w:val="111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105">
    <w:name w:val="Heading 4"/>
    <w:basedOn w:val="1159"/>
    <w:next w:val="1159"/>
    <w:link w:val="111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106">
    <w:name w:val="Heading 5"/>
    <w:basedOn w:val="1159"/>
    <w:next w:val="1159"/>
    <w:link w:val="111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107">
    <w:name w:val="Heading 6"/>
    <w:basedOn w:val="1159"/>
    <w:next w:val="1159"/>
    <w:link w:val="111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108">
    <w:name w:val="Heading 7"/>
    <w:basedOn w:val="1159"/>
    <w:next w:val="1159"/>
    <w:link w:val="111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109">
    <w:name w:val="Heading 8"/>
    <w:basedOn w:val="1159"/>
    <w:next w:val="1159"/>
    <w:link w:val="111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110">
    <w:name w:val="Heading 9"/>
    <w:basedOn w:val="1159"/>
    <w:next w:val="1159"/>
    <w:link w:val="111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111">
    <w:name w:val="Heading 1 Char"/>
    <w:basedOn w:val="1160"/>
    <w:link w:val="11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12">
    <w:name w:val="Heading 2 Char"/>
    <w:basedOn w:val="1160"/>
    <w:link w:val="110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13">
    <w:name w:val="Heading 3 Char"/>
    <w:basedOn w:val="1160"/>
    <w:link w:val="11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14">
    <w:name w:val="Heading 4 Char"/>
    <w:basedOn w:val="1160"/>
    <w:link w:val="110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15">
    <w:name w:val="Heading 5 Char"/>
    <w:basedOn w:val="1160"/>
    <w:link w:val="11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16">
    <w:name w:val="Heading 6 Char"/>
    <w:basedOn w:val="1160"/>
    <w:link w:val="110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17">
    <w:name w:val="Heading 7 Char"/>
    <w:basedOn w:val="1160"/>
    <w:link w:val="110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18">
    <w:name w:val="Heading 8 Char"/>
    <w:basedOn w:val="1160"/>
    <w:link w:val="110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19">
    <w:name w:val="Heading 9 Char"/>
    <w:basedOn w:val="1160"/>
    <w:link w:val="111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20">
    <w:name w:val="Title"/>
    <w:basedOn w:val="1159"/>
    <w:next w:val="1159"/>
    <w:link w:val="112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21">
    <w:name w:val="Title Char"/>
    <w:basedOn w:val="1160"/>
    <w:link w:val="112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22">
    <w:name w:val="Subtitle"/>
    <w:basedOn w:val="1159"/>
    <w:next w:val="1159"/>
    <w:link w:val="112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23">
    <w:name w:val="Subtitle Char"/>
    <w:basedOn w:val="1160"/>
    <w:link w:val="112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24">
    <w:name w:val="Quote"/>
    <w:basedOn w:val="1159"/>
    <w:next w:val="1159"/>
    <w:link w:val="112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25">
    <w:name w:val="Quote Char"/>
    <w:basedOn w:val="1160"/>
    <w:link w:val="112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26">
    <w:name w:val="Intense Emphasis"/>
    <w:basedOn w:val="116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27">
    <w:name w:val="Intense Quote"/>
    <w:basedOn w:val="1159"/>
    <w:next w:val="1159"/>
    <w:link w:val="11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28">
    <w:name w:val="Intense Quote Char"/>
    <w:basedOn w:val="1160"/>
    <w:link w:val="112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29">
    <w:name w:val="Intense Reference"/>
    <w:basedOn w:val="116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130">
    <w:name w:val="No Spacing"/>
    <w:basedOn w:val="1159"/>
    <w:uiPriority w:val="1"/>
    <w:qFormat/>
    <w:pPr>
      <w:pBdr/>
      <w:spacing w:after="0" w:line="240" w:lineRule="auto"/>
      <w:ind/>
    </w:pPr>
  </w:style>
  <w:style w:type="character" w:styleId="1131">
    <w:name w:val="Subtle Emphasis"/>
    <w:basedOn w:val="116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32">
    <w:name w:val="Emphasis"/>
    <w:basedOn w:val="1160"/>
    <w:uiPriority w:val="20"/>
    <w:qFormat/>
    <w:pPr>
      <w:pBdr/>
      <w:spacing/>
      <w:ind/>
    </w:pPr>
    <w:rPr>
      <w:i/>
      <w:iCs/>
    </w:rPr>
  </w:style>
  <w:style w:type="character" w:styleId="1133">
    <w:name w:val="Strong"/>
    <w:basedOn w:val="1160"/>
    <w:uiPriority w:val="22"/>
    <w:qFormat/>
    <w:pPr>
      <w:pBdr/>
      <w:spacing/>
      <w:ind/>
    </w:pPr>
    <w:rPr>
      <w:b/>
      <w:bCs/>
    </w:rPr>
  </w:style>
  <w:style w:type="character" w:styleId="1134">
    <w:name w:val="Subtle Reference"/>
    <w:basedOn w:val="116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35">
    <w:name w:val="Book Title"/>
    <w:basedOn w:val="116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36">
    <w:name w:val="Header Char"/>
    <w:basedOn w:val="1160"/>
    <w:link w:val="1173"/>
    <w:uiPriority w:val="99"/>
    <w:pPr>
      <w:pBdr/>
      <w:spacing/>
      <w:ind/>
    </w:pPr>
  </w:style>
  <w:style w:type="character" w:styleId="1137">
    <w:name w:val="Footer Char"/>
    <w:basedOn w:val="1160"/>
    <w:link w:val="1170"/>
    <w:uiPriority w:val="99"/>
    <w:pPr>
      <w:pBdr/>
      <w:spacing/>
      <w:ind/>
    </w:pPr>
  </w:style>
  <w:style w:type="paragraph" w:styleId="1138">
    <w:name w:val="Caption"/>
    <w:basedOn w:val="1159"/>
    <w:next w:val="115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139">
    <w:name w:val="footnote text"/>
    <w:basedOn w:val="1159"/>
    <w:link w:val="114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40">
    <w:name w:val="Footnote Text Char"/>
    <w:basedOn w:val="1160"/>
    <w:link w:val="1139"/>
    <w:uiPriority w:val="99"/>
    <w:semiHidden/>
    <w:pPr>
      <w:pBdr/>
      <w:spacing/>
      <w:ind/>
    </w:pPr>
    <w:rPr>
      <w:sz w:val="20"/>
      <w:szCs w:val="20"/>
    </w:rPr>
  </w:style>
  <w:style w:type="character" w:styleId="1141">
    <w:name w:val="footnote reference"/>
    <w:basedOn w:val="1160"/>
    <w:uiPriority w:val="99"/>
    <w:semiHidden/>
    <w:unhideWhenUsed/>
    <w:pPr>
      <w:pBdr/>
      <w:spacing/>
      <w:ind/>
    </w:pPr>
    <w:rPr>
      <w:vertAlign w:val="superscript"/>
    </w:rPr>
  </w:style>
  <w:style w:type="paragraph" w:styleId="1142">
    <w:name w:val="endnote text"/>
    <w:basedOn w:val="1159"/>
    <w:link w:val="11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43">
    <w:name w:val="Endnote Text Char"/>
    <w:basedOn w:val="1160"/>
    <w:link w:val="1142"/>
    <w:uiPriority w:val="99"/>
    <w:semiHidden/>
    <w:pPr>
      <w:pBdr/>
      <w:spacing/>
      <w:ind/>
    </w:pPr>
    <w:rPr>
      <w:sz w:val="20"/>
      <w:szCs w:val="20"/>
    </w:rPr>
  </w:style>
  <w:style w:type="character" w:styleId="1144">
    <w:name w:val="endnote reference"/>
    <w:basedOn w:val="1160"/>
    <w:uiPriority w:val="99"/>
    <w:semiHidden/>
    <w:unhideWhenUsed/>
    <w:pPr>
      <w:pBdr/>
      <w:spacing/>
      <w:ind/>
    </w:pPr>
    <w:rPr>
      <w:vertAlign w:val="superscript"/>
    </w:rPr>
  </w:style>
  <w:style w:type="character" w:styleId="1145">
    <w:name w:val="Hyperlink"/>
    <w:basedOn w:val="116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146">
    <w:name w:val="FollowedHyperlink"/>
    <w:basedOn w:val="116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47">
    <w:name w:val="toc 1"/>
    <w:basedOn w:val="1159"/>
    <w:next w:val="1159"/>
    <w:uiPriority w:val="39"/>
    <w:unhideWhenUsed/>
    <w:pPr>
      <w:pBdr/>
      <w:spacing w:after="100"/>
      <w:ind/>
    </w:pPr>
  </w:style>
  <w:style w:type="paragraph" w:styleId="1148">
    <w:name w:val="toc 2"/>
    <w:basedOn w:val="1159"/>
    <w:next w:val="1159"/>
    <w:uiPriority w:val="39"/>
    <w:unhideWhenUsed/>
    <w:pPr>
      <w:pBdr/>
      <w:spacing w:after="100"/>
      <w:ind w:left="220"/>
    </w:pPr>
  </w:style>
  <w:style w:type="paragraph" w:styleId="1149">
    <w:name w:val="toc 3"/>
    <w:basedOn w:val="1159"/>
    <w:next w:val="1159"/>
    <w:uiPriority w:val="39"/>
    <w:unhideWhenUsed/>
    <w:pPr>
      <w:pBdr/>
      <w:spacing w:after="100"/>
      <w:ind w:left="440"/>
    </w:pPr>
  </w:style>
  <w:style w:type="paragraph" w:styleId="1150">
    <w:name w:val="toc 4"/>
    <w:basedOn w:val="1159"/>
    <w:next w:val="1159"/>
    <w:uiPriority w:val="39"/>
    <w:unhideWhenUsed/>
    <w:pPr>
      <w:pBdr/>
      <w:spacing w:after="100"/>
      <w:ind w:left="660"/>
    </w:pPr>
  </w:style>
  <w:style w:type="paragraph" w:styleId="1151">
    <w:name w:val="toc 5"/>
    <w:basedOn w:val="1159"/>
    <w:next w:val="1159"/>
    <w:uiPriority w:val="39"/>
    <w:unhideWhenUsed/>
    <w:pPr>
      <w:pBdr/>
      <w:spacing w:after="100"/>
      <w:ind w:left="880"/>
    </w:pPr>
  </w:style>
  <w:style w:type="paragraph" w:styleId="1152">
    <w:name w:val="toc 6"/>
    <w:basedOn w:val="1159"/>
    <w:next w:val="1159"/>
    <w:uiPriority w:val="39"/>
    <w:unhideWhenUsed/>
    <w:pPr>
      <w:pBdr/>
      <w:spacing w:after="100"/>
      <w:ind w:left="1100"/>
    </w:pPr>
  </w:style>
  <w:style w:type="paragraph" w:styleId="1153">
    <w:name w:val="toc 7"/>
    <w:basedOn w:val="1159"/>
    <w:next w:val="1159"/>
    <w:uiPriority w:val="39"/>
    <w:unhideWhenUsed/>
    <w:pPr>
      <w:pBdr/>
      <w:spacing w:after="100"/>
      <w:ind w:left="1320"/>
    </w:pPr>
  </w:style>
  <w:style w:type="paragraph" w:styleId="1154">
    <w:name w:val="toc 8"/>
    <w:basedOn w:val="1159"/>
    <w:next w:val="1159"/>
    <w:uiPriority w:val="39"/>
    <w:unhideWhenUsed/>
    <w:pPr>
      <w:pBdr/>
      <w:spacing w:after="100"/>
      <w:ind w:left="1540"/>
    </w:pPr>
  </w:style>
  <w:style w:type="paragraph" w:styleId="1155">
    <w:name w:val="toc 9"/>
    <w:basedOn w:val="1159"/>
    <w:next w:val="1159"/>
    <w:uiPriority w:val="39"/>
    <w:unhideWhenUsed/>
    <w:pPr>
      <w:pBdr/>
      <w:spacing w:after="100"/>
      <w:ind w:left="1760"/>
    </w:pPr>
  </w:style>
  <w:style w:type="character" w:styleId="1156">
    <w:name w:val="Placeholder Text"/>
    <w:basedOn w:val="1160"/>
    <w:uiPriority w:val="99"/>
    <w:semiHidden/>
    <w:pPr>
      <w:pBdr/>
      <w:spacing/>
      <w:ind/>
    </w:pPr>
    <w:rPr>
      <w:color w:val="666666"/>
    </w:rPr>
  </w:style>
  <w:style w:type="paragraph" w:styleId="1157">
    <w:name w:val="TOC Heading"/>
    <w:uiPriority w:val="39"/>
    <w:unhideWhenUsed/>
    <w:pPr>
      <w:pBdr/>
      <w:spacing/>
      <w:ind/>
    </w:pPr>
  </w:style>
  <w:style w:type="paragraph" w:styleId="1158">
    <w:name w:val="table of figures"/>
    <w:basedOn w:val="1159"/>
    <w:next w:val="1159"/>
    <w:uiPriority w:val="99"/>
    <w:unhideWhenUsed/>
    <w:pPr>
      <w:pBdr/>
      <w:spacing w:after="0" w:afterAutospacing="0"/>
      <w:ind/>
    </w:pPr>
  </w:style>
  <w:style w:type="paragraph" w:styleId="1159" w:default="1">
    <w:name w:val="Normal"/>
    <w:qFormat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60" w:default="1">
    <w:name w:val="Default Paragraph Font"/>
    <w:uiPriority w:val="1"/>
    <w:semiHidden/>
    <w:unhideWhenUsed/>
    <w:pPr>
      <w:pBdr/>
      <w:spacing/>
      <w:ind/>
    </w:pPr>
  </w:style>
  <w:style w:type="table" w:styleId="116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62" w:default="1">
    <w:name w:val="No List"/>
    <w:uiPriority w:val="99"/>
    <w:semiHidden/>
    <w:unhideWhenUsed/>
    <w:pPr>
      <w:pBdr/>
      <w:spacing/>
      <w:ind/>
    </w:pPr>
  </w:style>
  <w:style w:type="paragraph" w:styleId="1163" w:customStyle="1">
    <w:name w:val="Corps"/>
    <w:pPr>
      <w:pBdr/>
      <w:spacing/>
      <w:ind/>
    </w:pPr>
    <w:rPr>
      <w:rFonts w:ascii="Helvetica" w:hAnsi="Helvetica" w:eastAsia="ヒラギノ角ゴ Pro W3" w:cs="Times New Roman"/>
      <w:color w:val="000000"/>
      <w:szCs w:val="20"/>
    </w:rPr>
  </w:style>
  <w:style w:type="paragraph" w:styleId="1164" w:customStyle="1">
    <w:name w:val="Standard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character" w:styleId="1165" w:customStyle="1">
    <w:name w:val="Lien hypertexte1"/>
    <w:pPr>
      <w:pBdr/>
      <w:spacing/>
      <w:ind/>
    </w:pPr>
    <w:rPr>
      <w:color w:val="0000ff"/>
      <w:sz w:val="20"/>
      <w:u w:val="single"/>
    </w:rPr>
  </w:style>
  <w:style w:type="paragraph" w:styleId="1166" w:customStyle="1">
    <w:name w:val="Format libre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paragraph" w:styleId="1167">
    <w:name w:val="List Paragraph"/>
    <w:basedOn w:val="1159"/>
    <w:uiPriority w:val="34"/>
    <w:qFormat/>
    <w:pPr>
      <w:pBdr/>
      <w:spacing/>
      <w:ind w:left="720"/>
      <w:contextualSpacing w:val="true"/>
    </w:pPr>
  </w:style>
  <w:style w:type="paragraph" w:styleId="1168">
    <w:name w:val="Balloon Text"/>
    <w:basedOn w:val="1159"/>
    <w:link w:val="1169"/>
    <w:uiPriority w:val="99"/>
    <w:semiHidden/>
    <w:unhideWhenUsed/>
    <w:pPr>
      <w:pBdr/>
      <w:spacing/>
      <w:ind/>
    </w:pPr>
    <w:rPr>
      <w:rFonts w:ascii="Lucida Grande" w:hAnsi="Lucida Grande" w:cs="Lucida Grande"/>
      <w:sz w:val="18"/>
      <w:szCs w:val="18"/>
    </w:rPr>
  </w:style>
  <w:style w:type="character" w:styleId="1169" w:customStyle="1">
    <w:name w:val="Texte de bulles Car"/>
    <w:basedOn w:val="1160"/>
    <w:link w:val="1168"/>
    <w:uiPriority w:val="99"/>
    <w:semiHidden/>
    <w:pPr>
      <w:pBdr/>
      <w:spacing/>
      <w:ind/>
    </w:pPr>
    <w:rPr>
      <w:rFonts w:ascii="Lucida Grande" w:hAnsi="Lucida Grande" w:eastAsia="ヒラギノ角ゴ Pro W3" w:cs="Lucida Grande"/>
      <w:color w:val="000000"/>
      <w:sz w:val="18"/>
      <w:szCs w:val="18"/>
      <w:lang w:eastAsia="en-US"/>
    </w:rPr>
  </w:style>
  <w:style w:type="paragraph" w:styleId="1170">
    <w:name w:val="Footer"/>
    <w:basedOn w:val="1159"/>
    <w:link w:val="1171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171" w:customStyle="1">
    <w:name w:val="Pied de page Car"/>
    <w:basedOn w:val="1160"/>
    <w:link w:val="1170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72">
    <w:name w:val="page number"/>
    <w:basedOn w:val="1160"/>
    <w:uiPriority w:val="99"/>
    <w:semiHidden/>
    <w:unhideWhenUsed/>
    <w:pPr>
      <w:pBdr/>
      <w:spacing/>
      <w:ind/>
    </w:pPr>
  </w:style>
  <w:style w:type="paragraph" w:styleId="1173">
    <w:name w:val="Header"/>
    <w:basedOn w:val="1159"/>
    <w:link w:val="1174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174" w:customStyle="1">
    <w:name w:val="En-tête Car"/>
    <w:basedOn w:val="1160"/>
    <w:link w:val="1173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table" w:styleId="1175">
    <w:name w:val="Table Grid"/>
    <w:basedOn w:val="1161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2.png"/><Relationship Id="rId15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contact@oraveo.com" TargetMode="External"/><Relationship Id="rId2" Type="http://schemas.openxmlformats.org/officeDocument/2006/relationships/hyperlink" Target="http://www.oraveo.com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5C1936EF-2942-3D44-9E1C-787298F3154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Films en Lorraine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Grand</dc:creator>
  <cp:keywords/>
  <dc:description/>
  <cp:lastModifiedBy>Sophie Gangloff</cp:lastModifiedBy>
  <cp:revision>4</cp:revision>
  <dcterms:created xsi:type="dcterms:W3CDTF">2025-07-28T09:01:00Z</dcterms:created>
  <dcterms:modified xsi:type="dcterms:W3CDTF">2026-08-18T12:31:10Z</dcterms:modified>
</cp:coreProperties>
</file>