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1CB1991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3E5605E6" w14:textId="07E92D6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CON</w:t>
      </w:r>
      <w:r>
        <w:rPr>
          <w:rFonts w:asciiTheme="majorHAnsi" w:hAnsiTheme="majorHAnsi"/>
          <w:b/>
        </w:rPr>
        <w:t xml:space="preserve">VEN</w:t>
      </w:r>
      <w:r>
        <w:rPr>
          <w:rFonts w:asciiTheme="majorHAnsi" w:hAnsiTheme="majorHAnsi"/>
          <w:b/>
        </w:rPr>
        <w:t xml:space="preserve">T</w:t>
      </w:r>
      <w:r>
        <w:rPr>
          <w:rFonts w:asciiTheme="majorHAnsi" w:hAnsiTheme="majorHAnsi"/>
          <w:b/>
        </w:rPr>
        <w:t xml:space="preserve">ION</w:t>
      </w:r>
      <w:r>
        <w:rPr>
          <w:rFonts w:asciiTheme="majorHAnsi" w:hAnsiTheme="majorHAnsi"/>
          <w:b/>
        </w:rPr>
        <w:t xml:space="preserve"> D’EMPRUNT </w:t>
      </w:r>
      <w:r>
        <w:rPr>
          <w:rFonts w:asciiTheme="majorHAnsi" w:hAnsiTheme="majorHAnsi"/>
          <w:b/>
        </w:rPr>
        <w:t xml:space="preserve">DE LA </w:t>
      </w:r>
      <w:r>
        <w:rPr>
          <w:rFonts w:asciiTheme="majorHAnsi" w:hAnsiTheme="majorHAnsi"/>
          <w:b/>
        </w:rPr>
        <w:t xml:space="preserve">MALLETTE </w:t>
      </w:r>
      <w:r>
        <w:rPr>
          <w:rFonts w:asciiTheme="majorHAnsi" w:hAnsiTheme="majorHAnsi"/>
          <w:b/>
        </w:rPr>
        <w:t xml:space="preserve">SON</w: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57A0973B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70940BBA" w14:textId="77777777">
      <w:pPr>
        <w:pBdr/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7D23C139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ENTRE LES SOUSSIGNÉS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E3F27B2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Le RECIT,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05AAAC6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Association Loi 1901</w:t>
      </w:r>
      <w:r>
        <w:rPr>
          <w:rFonts w:asciiTheme="majorHAnsi" w:hAnsiTheme="majorHAnsi"/>
          <w:sz w:val="22"/>
          <w:szCs w:val="22"/>
          <w:highlight w:val="none"/>
        </w:rPr>
        <w:t xml:space="preserve">,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5B670AD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Domiciliée à la Maison de l’image, au 31 rue Kageneck à Strasbourg (67000),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8C091B4">
      <w:pPr>
        <w:pStyle w:val="1172"/>
        <w:pBdr/>
        <w:spacing w:after="120"/>
        <w:ind w:right="290"/>
        <w:contextualSpacing w:val="tru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N° Siret : 43960312700036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A5577DF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Assuré par la MAIF n°3644909B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F5F97A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Représentée par sa Présidente, Madame Laura Cassarino,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420BFC1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Ci-après dénommée « le RECIT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572ADFA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D’une part,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1CAE641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7DA4E62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ET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5697F7C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E229C65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 de la structure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75725665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none"/>
        </w:rPr>
        <w:t xml:space="preserve">SIRET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599FF18B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white"/>
        </w:rPr>
      </w:pPr>
      <w:r>
        <w:rPr>
          <w:rFonts w:asciiTheme="majorHAnsi" w:hAnsiTheme="majorHAnsi"/>
          <w:sz w:val="22"/>
          <w:szCs w:val="22"/>
          <w:highlight w:val="white"/>
        </w:rPr>
        <w:t xml:space="preserve">Assuré par : </w:t>
      </w:r>
      <w:r>
        <w:rPr>
          <w:rFonts w:asciiTheme="majorHAnsi" w:hAnsiTheme="majorHAnsi"/>
          <w:sz w:val="22"/>
          <w:szCs w:val="22"/>
          <w:highlight w:val="white"/>
        </w:rPr>
      </w:r>
      <w:r>
        <w:rPr>
          <w:rFonts w:asciiTheme="majorHAnsi" w:hAnsiTheme="majorHAnsi"/>
          <w:sz w:val="22"/>
          <w:szCs w:val="22"/>
          <w:highlight w:val="white"/>
        </w:rPr>
      </w:r>
    </w:p>
    <w:p w14:paraId="56999664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Domiciliée au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015A0B8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Représentée par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3C27BE01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Ci-après dénommée « l’UTILISATEUR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98D63F2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</w:rPr>
      </w:r>
      <w:r>
        <w:rPr>
          <w:rFonts w:asciiTheme="majorHAnsi" w:hAnsiTheme="majorHAnsi"/>
          <w:b/>
          <w:bCs/>
          <w:sz w:val="22"/>
          <w:szCs w:val="22"/>
        </w:rPr>
      </w:r>
    </w:p>
    <w:p w14:paraId="5BAC4CB8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</w:rPr>
        <w:t xml:space="preserve">D’autre part.</w:t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</w:p>
    <w:p w14:paraId="49A3ABFB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« Le RECIT» et « l’UTILISATEUR », étant ci-après individuellement dénommées « la Partie » ou collectivement « les Parties ».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A72E16D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D320794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6583E45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ETANT PRÉALABLEMENT EXPOSÉ CE QUI SUIT </w:t>
      </w:r>
      <w:r>
        <w:rPr>
          <w:rFonts w:asciiTheme="majorHAnsi" w:hAnsiTheme="majorHAnsi"/>
          <w:b/>
          <w:sz w:val="22"/>
          <w:szCs w:val="22"/>
        </w:rPr>
        <w:t xml:space="preserve">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13C9CF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558ed5" w:themeColor="text2" w:themeTint="99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En sa qualité de pôle régional d’éducation aux images, le RECIT est missionné par le ministère de la Culture (CNC, DRAC Grand Est) pour mettre à disposition du matériel audiovisuel et des outils ludiques auprès des structures souhaitant développe</w:t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r des projets d’éducation aux images auprès de leurs publics.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6CCA929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Le RECIT a donc développé un centre de ressources varié, empruntable gratuitement par les structures, afin d’accompagner et d’enrichir leur travail autour du cinéma, de l’image et du son.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Ce matériel est destiné aux professionnel·les des secteurs associatifs, éducatifs, sociaux médico-sociaux, artistiques ou culturels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Le RECIT est à l’écoute de leurs besoins et envies.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</w:p>
    <w:p w14:paraId="6884F19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 demande d’emprunt de matériel est validée en fonction de sa disponibilité et à la condition qu’une personne de la structure emprunteuse ait suivi un temps de formation préalable proposé par le RECIT. 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2A2152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w14:paraId="5639F263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Au sein de son parc de matériel,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le RECIT met à disposition gratuitement une</w:t>
      </w:r>
      <w:r>
        <w:rPr>
          <w:rFonts w:asciiTheme="majorHAnsi" w:hAnsiTheme="majorHAnsi"/>
          <w:sz w:val="22"/>
          <w:szCs w:val="22"/>
        </w:rPr>
        <w:t xml:space="preserve"> Mallette </w:t>
      </w:r>
      <w:r>
        <w:rPr>
          <w:rFonts w:asciiTheme="majorHAnsi" w:hAnsiTheme="majorHAnsi"/>
          <w:sz w:val="22"/>
          <w:szCs w:val="22"/>
        </w:rPr>
        <w:t xml:space="preserve">Son, constituée d’un kit enregistrement, d’une </w:t>
      </w:r>
      <w:r>
        <w:rPr>
          <w:rFonts w:asciiTheme="majorHAnsi" w:hAnsiTheme="majorHAnsi"/>
          <w:sz w:val="22"/>
          <w:szCs w:val="22"/>
        </w:rPr>
        <w:t xml:space="preserve">petite et d’une grande mallette de</w:t>
      </w:r>
      <w:r>
        <w:rPr>
          <w:rFonts w:asciiTheme="majorHAnsi" w:hAnsiTheme="majorHAnsi"/>
          <w:sz w:val="22"/>
          <w:szCs w:val="22"/>
        </w:rPr>
        <w:t xml:space="preserve"> bruit</w:t>
      </w:r>
      <w:r>
        <w:rPr>
          <w:rFonts w:asciiTheme="majorHAnsi" w:hAnsiTheme="majorHAnsi"/>
          <w:sz w:val="22"/>
          <w:szCs w:val="22"/>
        </w:rPr>
        <w:t xml:space="preserve">age</w:t>
      </w:r>
      <w:r>
        <w:rPr>
          <w:rFonts w:asciiTheme="majorHAnsi" w:hAnsiTheme="majorHAnsi"/>
          <w:color w:val="auto"/>
          <w:sz w:val="22"/>
          <w:szCs w:val="22"/>
        </w:rPr>
        <w:t xml:space="preserve">, empruntables séparément.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168F2EFA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B0A7AE3" w14:textId="210AE8FA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CECI AYANT ÉTÉ RAPPELÉ, IL A ÉTÉ CONVENU ET ARRÊTÉ</w:t>
      </w:r>
      <w:r>
        <w:rPr>
          <w:rFonts w:asciiTheme="majorHAnsi" w:hAnsiTheme="majorHAnsi"/>
          <w:b/>
          <w:sz w:val="22"/>
          <w:szCs w:val="22"/>
          <w:u w:val="single"/>
        </w:rPr>
        <w:t xml:space="preserve"> CE QUI SUIT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156EF28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sz w:val="22"/>
          <w:szCs w:val="22"/>
          <w:highlight w:val="none"/>
        </w:rPr>
      </w:r>
    </w:p>
    <w:p w14:paraId="670597F1" w14:textId="3F53482A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bCs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</w:rPr>
        <w:t xml:space="preserve">ARTICLE 1 : </w:t>
      </w:r>
      <w:r>
        <w:rPr>
          <w:rFonts w:asciiTheme="majorHAnsi" w:hAnsiTheme="majorHAnsi"/>
          <w:b/>
          <w:sz w:val="22"/>
          <w:szCs w:val="22"/>
        </w:rPr>
        <w:t xml:space="preserve">OBJET DE LA CONVENTION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45375A3" w14:textId="3ED9FF69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 pour objet de définir les conditions dans lesquelles l’UTILISATEUR est autorisé à utiliser le matérie</w:t>
      </w:r>
      <w:r>
        <w:rPr>
          <w:rFonts w:asciiTheme="majorHAnsi" w:hAnsiTheme="majorHAnsi"/>
          <w:sz w:val="22"/>
          <w:szCs w:val="22"/>
        </w:rPr>
        <w:t xml:space="preserve">l constitutif </w:t>
      </w:r>
      <w:r>
        <w:rPr>
          <w:rFonts w:asciiTheme="majorHAnsi" w:hAnsiTheme="majorHAnsi"/>
          <w:sz w:val="22"/>
          <w:szCs w:val="22"/>
        </w:rPr>
        <w:t xml:space="preserve">de la </w:t>
      </w:r>
      <w:r>
        <w:rPr>
          <w:rFonts w:cs="Helvetica" w:asciiTheme="majorHAnsi" w:hAnsiTheme="majorHAnsi"/>
          <w:sz w:val="22"/>
          <w:szCs w:val="22"/>
        </w:rPr>
        <w:t xml:space="preserve">Mallette </w:t>
      </w:r>
      <w:r>
        <w:rPr>
          <w:rFonts w:cs="Helvetica" w:asciiTheme="majorHAnsi" w:hAnsiTheme="majorHAnsi"/>
          <w:sz w:val="22"/>
          <w:szCs w:val="22"/>
        </w:rPr>
        <w:t xml:space="preserve">Son</w:t>
      </w:r>
      <w:r>
        <w:rPr>
          <w:rFonts w:cs="Helvetica" w:asciiTheme="majorHAnsi" w:hAnsiTheme="majorHAnsi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tel que </w:t>
      </w: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is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é à l’Arti</w:t>
      </w:r>
      <w:r>
        <w:rPr>
          <w:rFonts w:asciiTheme="majorHAnsi" w:hAnsiTheme="majorHAnsi"/>
          <w:sz w:val="22"/>
          <w:szCs w:val="22"/>
        </w:rPr>
        <w:t xml:space="preserve">cle 2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FF7096E" w14:textId="4EBFF5AD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 conclusion de ce</w:t>
      </w:r>
      <w:r>
        <w:rPr>
          <w:rFonts w:asciiTheme="majorHAnsi" w:hAnsiTheme="majorHAnsi"/>
          <w:sz w:val="22"/>
          <w:szCs w:val="22"/>
        </w:rPr>
        <w:t xml:space="preserve">tte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C</w:t>
      </w:r>
      <w:r>
        <w:rPr>
          <w:rFonts w:asciiTheme="majorHAnsi" w:hAnsiTheme="majorHAnsi"/>
          <w:sz w:val="22"/>
          <w:szCs w:val="22"/>
        </w:rPr>
        <w:t xml:space="preserve">on</w:t>
      </w:r>
      <w:r>
        <w:rPr>
          <w:rFonts w:asciiTheme="majorHAnsi" w:hAnsiTheme="majorHAnsi"/>
          <w:sz w:val="22"/>
          <w:szCs w:val="22"/>
        </w:rPr>
        <w:t xml:space="preserve">vention</w:t>
      </w:r>
      <w:r>
        <w:rPr>
          <w:rFonts w:asciiTheme="majorHAnsi" w:hAnsiTheme="majorHAnsi"/>
          <w:sz w:val="22"/>
          <w:szCs w:val="22"/>
        </w:rPr>
        <w:t xml:space="preserve"> entraîne l’acceptation des conditions d’utilisation de ce Matériel telles qu’elles figurent </w:t>
      </w:r>
      <w:r>
        <w:rPr>
          <w:rFonts w:asciiTheme="majorHAnsi" w:hAnsiTheme="majorHAnsi"/>
          <w:sz w:val="22"/>
          <w:szCs w:val="22"/>
        </w:rPr>
        <w:t xml:space="preserve">dans l’article 3.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E09DF40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169EBF6" w14:textId="0537B840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2 : </w:t>
      </w:r>
      <w:r>
        <w:rPr>
          <w:rFonts w:asciiTheme="majorHAnsi" w:hAnsiTheme="majorHAnsi"/>
          <w:b/>
          <w:sz w:val="22"/>
          <w:szCs w:val="22"/>
        </w:rPr>
        <w:t xml:space="preserve">MISE À DISPOSITION DU MATÉRIEL</w:t>
      </w:r>
      <w:r>
        <w:rPr>
          <w:rFonts w:asciiTheme="majorHAnsi" w:hAnsiTheme="majorHAnsi"/>
          <w:b/>
          <w:sz w:val="22"/>
          <w:szCs w:val="22"/>
        </w:rPr>
        <w:t xml:space="preserve"> ET DURÉ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C997AB7" w14:textId="57DFCF66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4"/>
          <w:szCs w:val="24"/>
          <w:highlight w:val="none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autorise la mise à disposition du matériel suivant</w:t>
      </w:r>
      <w:r>
        <w:rPr>
          <w:rFonts w:asciiTheme="majorHAnsi" w:hAnsiTheme="majorHAnsi"/>
          <w:sz w:val="22"/>
          <w:szCs w:val="22"/>
        </w:rPr>
        <w:t xml:space="preserve"> pour une durée de 2 semaines</w:t>
      </w:r>
      <w:r>
        <w:rPr>
          <w:rFonts w:asciiTheme="majorHAnsi" w:hAnsiTheme="majorHAnsi"/>
          <w:sz w:val="22"/>
          <w:szCs w:val="22"/>
        </w:rPr>
        <w:t xml:space="preserve"> maximum</w:t>
      </w:r>
      <w:r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604a7b" w:themeColor="accent4" w:themeShade="BF"/>
          <w:sz w:val="22"/>
          <w:szCs w:val="22"/>
        </w:rPr>
        <w:t xml:space="preserve">Merci de rayer l’élément ou les éléments non emprunté(s) ci-dessous :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19CC85B4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highlight w:val="none"/>
        </w:rPr>
      </w:r>
      <w:r>
        <w:rPr>
          <w:rFonts w:asciiTheme="majorHAnsi" w:hAnsiTheme="majorHAnsi"/>
          <w:sz w:val="24"/>
          <w:szCs w:val="24"/>
          <w:highlight w:val="none"/>
        </w:rPr>
      </w:r>
      <w:r>
        <w:rPr>
          <w:rFonts w:asciiTheme="majorHAnsi" w:hAnsiTheme="majorHAnsi"/>
          <w:sz w:val="24"/>
          <w:szCs w:val="24"/>
          <w:highlight w:val="none"/>
        </w:rPr>
      </w:r>
    </w:p>
    <w:p w14:paraId="2922187E" w14:textId="25F83002">
      <w:pPr>
        <w:pStyle w:val="1172"/>
        <w:pBdr/>
        <w:spacing w:after="120"/>
        <w:ind w:right="290"/>
        <w:contextualSpacing w:val="true"/>
        <w:jc w:val="center"/>
        <w:rPr>
          <w:rFonts w:asciiTheme="majorHAnsi" w:hAnsiTheme="majorHAnsi"/>
          <w:sz w:val="22"/>
          <w:szCs w:val="22"/>
          <w14:ligatures w14:val="none"/>
        </w:rPr>
      </w:pPr>
      <w:r>
        <w:rPr>
          <w:rFonts w:asciiTheme="majorHAnsi" w:hAnsiTheme="majorHAnsi"/>
          <w:sz w:val="22"/>
          <w:szCs w:val="22"/>
        </w:rPr>
        <w:t xml:space="preserve">1 </w:t>
      </w:r>
      <w:r>
        <w:rPr>
          <w:rFonts w:asciiTheme="majorHAnsi" w:hAnsiTheme="majorHAnsi"/>
          <w:sz w:val="22"/>
          <w:szCs w:val="22"/>
        </w:rPr>
        <w:t xml:space="preserve">kit enregistrement constitué de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14:ligatures w14:val="none"/>
        </w:rPr>
      </w:r>
      <w:r>
        <w:rPr>
          <w:rFonts w:asciiTheme="majorHAnsi" w:hAnsiTheme="majorHAnsi"/>
          <w:sz w:val="22"/>
          <w:szCs w:val="22"/>
        </w:rPr>
        <w:t xml:space="preserve">cf</w:t>
      </w:r>
      <w:r>
        <w:rPr>
          <w:rFonts w:asciiTheme="majorHAnsi" w:hAnsiTheme="majorHAnsi"/>
          <w:sz w:val="22"/>
          <w:szCs w:val="22"/>
        </w:rPr>
        <w:t xml:space="preserve"> Annexe 2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14:ligatures w14:val="none"/>
        </w:rPr>
      </w:r>
      <w:r>
        <w:rPr>
          <w:rFonts w:asciiTheme="majorHAnsi" w:hAnsiTheme="majorHAnsi"/>
          <w:sz w:val="22"/>
          <w:szCs w:val="22"/>
          <w14:ligatures w14:val="none"/>
        </w:rPr>
      </w:r>
    </w:p>
    <w:p w14:paraId="629120C0" w14:textId="50700A0B">
      <w:pPr>
        <w:pStyle w:val="1172"/>
        <w:pBdr/>
        <w:spacing w:after="120"/>
        <w:ind w:right="290"/>
        <w:contextualSpacing w:val="true"/>
        <w:jc w:val="center"/>
        <w:rPr>
          <w:rFonts w:asciiTheme="majorHAnsi" w:hAnsiTheme="majorHAnsi"/>
          <w:sz w:val="22"/>
          <w:szCs w:val="22"/>
          <w14:ligatures w14:val="none"/>
        </w:rPr>
      </w:pPr>
      <w:r>
        <w:rPr>
          <w:rFonts w:asciiTheme="majorHAnsi" w:hAnsiTheme="majorHAnsi"/>
          <w:sz w:val="22"/>
          <w:szCs w:val="22"/>
        </w:rPr>
        <w:t xml:space="preserve">1 petite mallette</w:t>
      </w:r>
      <w:r>
        <w:rPr>
          <w:rFonts w:asciiTheme="majorHAnsi" w:hAnsiTheme="majorHAnsi"/>
          <w:sz w:val="22"/>
          <w:szCs w:val="22"/>
        </w:rPr>
        <w:t xml:space="preserve"> de</w:t>
      </w:r>
      <w:r>
        <w:rPr>
          <w:rFonts w:asciiTheme="majorHAnsi" w:hAnsiTheme="majorHAnsi"/>
          <w:sz w:val="22"/>
          <w:szCs w:val="22"/>
        </w:rPr>
        <w:t xml:space="preserve"> bruit</w:t>
      </w:r>
      <w:r>
        <w:rPr>
          <w:rFonts w:asciiTheme="majorHAnsi" w:hAnsiTheme="majorHAnsi"/>
          <w:sz w:val="22"/>
          <w:szCs w:val="22"/>
        </w:rPr>
        <w:t xml:space="preserve">age</w:t>
      </w:r>
      <w:r>
        <w:rPr>
          <w:rFonts w:asciiTheme="majorHAnsi" w:hAnsiTheme="majorHAnsi"/>
          <w:sz w:val="22"/>
          <w:szCs w:val="22"/>
        </w:rPr>
        <w:t xml:space="preserve"> constituée</w:t>
      </w:r>
      <w:r>
        <w:rPr>
          <w:rFonts w:asciiTheme="majorHAnsi" w:hAnsiTheme="majorHAnsi"/>
          <w:sz w:val="22"/>
          <w:szCs w:val="22"/>
        </w:rPr>
        <w:t xml:space="preserve"> de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14:ligatures w14:val="none"/>
        </w:rPr>
      </w:r>
      <w:r>
        <w:rPr>
          <w:rFonts w:asciiTheme="majorHAnsi" w:hAnsiTheme="majorHAnsi"/>
          <w:sz w:val="22"/>
          <w:szCs w:val="22"/>
        </w:rPr>
        <w:t xml:space="preserve">cf</w:t>
      </w:r>
      <w:r>
        <w:rPr>
          <w:rFonts w:asciiTheme="majorHAnsi" w:hAnsiTheme="majorHAnsi"/>
          <w:sz w:val="22"/>
          <w:szCs w:val="22"/>
        </w:rPr>
        <w:t xml:space="preserve"> Annexe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3 </w:t>
      </w:r>
      <w:r>
        <w:rPr>
          <w:rFonts w:asciiTheme="majorHAnsi" w:hAnsiTheme="majorHAnsi"/>
          <w:sz w:val="22"/>
          <w:szCs w:val="22"/>
          <w14:ligatures w14:val="none"/>
        </w:rPr>
      </w:r>
      <w:r>
        <w:rPr>
          <w:rFonts w:asciiTheme="majorHAnsi" w:hAnsiTheme="majorHAnsi"/>
          <w:sz w:val="22"/>
          <w:szCs w:val="22"/>
          <w14:ligatures w14:val="none"/>
        </w:rPr>
      </w:r>
    </w:p>
    <w:p w14:paraId="1E7C5AF9">
      <w:pPr>
        <w:pStyle w:val="1172"/>
        <w:pBdr/>
        <w:spacing w:after="120"/>
        <w:ind w:right="290"/>
        <w:contextualSpacing w:val="true"/>
        <w:jc w:val="center"/>
        <w:rPr>
          <w:rFonts w:asciiTheme="majorHAnsi" w:hAnsiTheme="majorHAnsi"/>
          <w:sz w:val="22"/>
          <w:szCs w:val="22"/>
          <w:highlight w:val="none"/>
          <w14:ligatures w14:val="none"/>
        </w:rPr>
      </w:pPr>
      <w:r>
        <w:rPr>
          <w:rFonts w:asciiTheme="majorHAnsi" w:hAnsiTheme="majorHAnsi"/>
          <w:sz w:val="22"/>
          <w:szCs w:val="22"/>
          <w:highlight w:val="none"/>
        </w:rPr>
        <w:t xml:space="preserve">1 malle de bruitage constituée de : cf. Annexe 4.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14:ligatures w14:val="none"/>
        </w:rPr>
      </w:r>
    </w:p>
    <w:p w14:paraId="6FB0180B">
      <w:pPr>
        <w:pStyle w:val="1172"/>
        <w:pBdr/>
        <w:spacing w:after="120"/>
        <w:ind w:right="290"/>
        <w:contextualSpacing w:val="true"/>
        <w:jc w:val="center"/>
        <w:rPr>
          <w:rFonts w:asciiTheme="majorHAnsi" w:hAnsiTheme="majorHAnsi"/>
          <w:sz w:val="22"/>
          <w:szCs w:val="22"/>
          <w14:ligatures w14:val="none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4DF2EC4C" w14:textId="197CD1E8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Pour les besoins suivants :</w:t>
      </w: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4DC5EB0A" w14:textId="593F8BA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Nature de l’événement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2EAA605D" w14:textId="296BB350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Date(s) de location :</w:t>
      </w:r>
      <w:r>
        <w:rPr>
          <w:rFonts w:asciiTheme="majorHAnsi" w:hAnsiTheme="majorHAnsi"/>
          <w:sz w:val="22"/>
          <w:szCs w:val="22"/>
          <w:highlight w:val="yellow"/>
        </w:rPr>
        <w:t xml:space="preserve">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0C84CAEE" w14:textId="4A692312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  <w:u w:val="none"/>
        </w:rPr>
        <w:t xml:space="preserve">Date </w:t>
      </w:r>
      <w:r>
        <w:rPr>
          <w:rFonts w:asciiTheme="majorHAnsi" w:hAnsiTheme="majorHAnsi"/>
          <w:sz w:val="22"/>
          <w:szCs w:val="22"/>
          <w:highlight w:val="yellow"/>
          <w:u w:val="none"/>
        </w:rPr>
        <w:t xml:space="preserve">et créneau </w:t>
      </w:r>
      <w:r>
        <w:rPr>
          <w:rFonts w:asciiTheme="majorHAnsi" w:hAnsiTheme="majorHAnsi"/>
          <w:sz w:val="22"/>
          <w:szCs w:val="22"/>
          <w:highlight w:val="yellow"/>
        </w:rPr>
        <w:t xml:space="preserve">de l’enlèvement :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0202A3FF" w14:textId="642D4A05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Date et créneau</w:t>
      </w:r>
      <w:r>
        <w:rPr>
          <w:rFonts w:asciiTheme="majorHAnsi" w:hAnsiTheme="majorHAnsi"/>
          <w:sz w:val="22"/>
          <w:szCs w:val="22"/>
          <w:highlight w:val="yellow"/>
        </w:rPr>
        <w:t xml:space="preserve">  </w:t>
      </w:r>
      <w:r>
        <w:rPr>
          <w:rFonts w:asciiTheme="majorHAnsi" w:hAnsiTheme="majorHAnsi"/>
          <w:sz w:val="22"/>
          <w:szCs w:val="22"/>
          <w:highlight w:val="yellow"/>
        </w:rPr>
        <w:t xml:space="preserve">de retour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:highlight w:val="yellow"/>
        </w:rPr>
        <w:t xml:space="preserve"> :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/>
      <w:r>
        <w:rPr>
          <w:rFonts w:asciiTheme="majorHAnsi" w:hAnsiTheme="majorHAnsi"/>
          <w:sz w:val="22"/>
          <w:szCs w:val="22"/>
          <w:highlight w:val="yellow"/>
        </w:rPr>
      </w:r>
    </w:p>
    <w:p w14:paraId="3FA91B9B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42AA4434" w14:textId="5EACFD2E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</w:rPr>
        <w:t xml:space="preserve">Sauf cas particulier qui sera</w:t>
      </w:r>
      <w:r>
        <w:rPr>
          <w:rFonts w:asciiTheme="majorHAnsi" w:hAnsiTheme="majorHAnsi"/>
          <w:sz w:val="22"/>
          <w:szCs w:val="22"/>
        </w:rPr>
        <w:t xml:space="preserve"> notifié à l’UTILISATEUR avant le début de l’évènement, l’enlèvement et le retour du Matériel se </w:t>
      </w:r>
      <w:r>
        <w:rPr>
          <w:rFonts w:asciiTheme="majorHAnsi" w:hAnsiTheme="majorHAnsi"/>
          <w:sz w:val="22"/>
          <w:szCs w:val="22"/>
        </w:rPr>
        <w:t xml:space="preserve">font</w:t>
      </w:r>
      <w:r>
        <w:rPr>
          <w:rFonts w:asciiTheme="majorHAnsi" w:hAnsiTheme="majorHAnsi"/>
          <w:sz w:val="22"/>
          <w:szCs w:val="22"/>
        </w:rPr>
        <w:t xml:space="preserve"> impérativement depuis et vers les locaux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0089619" w14:textId="0B8A736C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</w:rPr>
        <w:t xml:space="preserve">Si des arrangements particuliers sont trouvés entre les structures qui empruntent la mallette sur des périodes consécutives, ces dernières sont priées de faire valider au préalable par </w:t>
      </w:r>
      <w:r>
        <w:rPr>
          <w:rFonts w:cs="Helvetica" w:asciiTheme="majorHAnsi" w:hAnsiTheme="majorHAnsi"/>
          <w:sz w:val="22"/>
          <w:szCs w:val="22"/>
        </w:rPr>
        <w:t xml:space="preserve">le RECIT</w:t>
      </w:r>
      <w:r>
        <w:rPr>
          <w:rFonts w:cs="Helvetica" w:asciiTheme="majorHAnsi" w:hAnsiTheme="majorHAnsi"/>
          <w:sz w:val="22"/>
          <w:szCs w:val="22"/>
        </w:rPr>
        <w:t xml:space="preserve"> les mouvements du matériel. Les deux utilisateurs concernés devront procéder ensemble à la vérification de l’état du matériel et signaler </w:t>
      </w:r>
      <w:r>
        <w:rPr>
          <w:rFonts w:cs="Helvetica" w:asciiTheme="majorHAnsi" w:hAnsiTheme="majorHAnsi"/>
          <w:sz w:val="22"/>
          <w:szCs w:val="22"/>
        </w:rPr>
        <w:t xml:space="preserve">au RECIT</w:t>
      </w:r>
      <w:r>
        <w:rPr>
          <w:rFonts w:cs="Helvetica" w:asciiTheme="majorHAnsi" w:hAnsiTheme="majorHAnsi"/>
          <w:sz w:val="22"/>
          <w:szCs w:val="22"/>
        </w:rPr>
        <w:t xml:space="preserve"> toute irrégularité.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5F2805D" w14:textId="77777777">
      <w:pPr>
        <w:pStyle w:val="1172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B34FF12" w14:textId="342F56C7">
      <w:pPr>
        <w:pStyle w:val="1172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Toute cession de la présente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à un tiers est formellement interdite.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BC65718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F269E9A" w14:textId="77777777">
      <w:pPr>
        <w:pStyle w:val="1172"/>
        <w:pBdr/>
        <w:spacing/>
        <w:ind w:right="289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3 : UTILISATION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DD9354D" w14:textId="0F5D2D9E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</w:rPr>
        <w:t xml:space="preserve">La Mallette </w:t>
      </w:r>
      <w:r>
        <w:rPr>
          <w:rFonts w:cs="Helvetica" w:asciiTheme="majorHAnsi" w:hAnsiTheme="majorHAnsi"/>
          <w:sz w:val="22"/>
          <w:szCs w:val="22"/>
        </w:rPr>
        <w:t xml:space="preserve">Son</w:t>
      </w:r>
      <w:r>
        <w:rPr>
          <w:rFonts w:cs="Helvetica" w:asciiTheme="majorHAnsi" w:hAnsiTheme="majorHAnsi"/>
          <w:sz w:val="22"/>
          <w:szCs w:val="22"/>
        </w:rPr>
        <w:t xml:space="preserve"> est le bien </w:t>
      </w:r>
      <w:r>
        <w:rPr>
          <w:rFonts w:cs="Helvetica" w:asciiTheme="majorHAnsi" w:hAnsiTheme="majorHAnsi"/>
          <w:sz w:val="22"/>
          <w:szCs w:val="22"/>
        </w:rPr>
        <w:t xml:space="preserve">du RECIT</w:t>
      </w:r>
      <w:r>
        <w:rPr>
          <w:rFonts w:cs="Helvetica" w:asciiTheme="majorHAnsi" w:hAnsiTheme="majorHAnsi"/>
          <w:sz w:val="22"/>
          <w:szCs w:val="22"/>
        </w:rPr>
        <w:t xml:space="preserve">. Elle ne peut être manipulée que par des encadrants ayant suivi la formation spécifique</w:t>
      </w:r>
      <w:r>
        <w:rPr>
          <w:rFonts w:cs="Helvetica" w:asciiTheme="majorHAnsi" w:hAnsiTheme="majorHAnsi"/>
          <w:sz w:val="22"/>
          <w:szCs w:val="22"/>
        </w:rPr>
        <w:t xml:space="preserve"> </w:t>
      </w:r>
      <w:r>
        <w:rPr>
          <w:rFonts w:cs="Helvetica" w:asciiTheme="majorHAnsi" w:hAnsiTheme="majorHAnsi"/>
          <w:color w:val="auto"/>
          <w:sz w:val="22"/>
          <w:szCs w:val="22"/>
        </w:rPr>
        <w:t xml:space="preserve">organisée par </w:t>
      </w:r>
      <w:r>
        <w:rPr>
          <w:rFonts w:cs="Helvetica" w:asciiTheme="majorHAnsi" w:hAnsiTheme="majorHAnsi"/>
          <w:color w:val="auto"/>
          <w:sz w:val="22"/>
          <w:szCs w:val="22"/>
        </w:rPr>
        <w:t xml:space="preserve">le RECIT</w:t>
      </w:r>
      <w:r>
        <w:rPr>
          <w:rFonts w:cs="Helvetica" w:asciiTheme="majorHAnsi" w:hAnsiTheme="majorHAnsi"/>
          <w:sz w:val="22"/>
          <w:szCs w:val="22"/>
        </w:rPr>
        <w:t xml:space="preserve">. La structure utilisatrice s’engage à faire respecter cette clause au sein de son personnel.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L’UTILISATEUR restera garant vis-à</w:t>
      </w:r>
      <w:r>
        <w:rPr>
          <w:rFonts w:asciiTheme="majorHAnsi" w:hAnsiTheme="majorHAnsi"/>
          <w:sz w:val="22"/>
          <w:szCs w:val="22"/>
        </w:rPr>
        <w:t xml:space="preserve">-</w:t>
      </w:r>
      <w:r>
        <w:rPr>
          <w:rFonts w:asciiTheme="majorHAnsi" w:hAnsiTheme="majorHAnsi"/>
          <w:sz w:val="22"/>
          <w:szCs w:val="22"/>
        </w:rPr>
        <w:t xml:space="preserve">vis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 de la bonne utilisation du Matériel jusqu’à sa restitution.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2D4A06E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C9C565D" w14:textId="740AD423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4</w:t>
      </w:r>
      <w:r>
        <w:rPr>
          <w:rFonts w:asciiTheme="majorHAnsi" w:hAnsiTheme="majorHAnsi"/>
          <w:b/>
          <w:sz w:val="22"/>
          <w:szCs w:val="22"/>
        </w:rPr>
        <w:t xml:space="preserve"> : PRIX ET GARANTIES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4AA2DC4" w14:textId="3059DC19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L’emprunt de la Mallette </w:t>
      </w:r>
      <w:r>
        <w:rPr>
          <w:rFonts w:asciiTheme="majorHAnsi" w:hAnsiTheme="majorHAnsi"/>
          <w:sz w:val="22"/>
          <w:szCs w:val="22"/>
        </w:rPr>
        <w:t xml:space="preserve">Son</w:t>
      </w:r>
      <w:r>
        <w:rPr>
          <w:rFonts w:asciiTheme="majorHAnsi" w:hAnsiTheme="majorHAnsi"/>
          <w:sz w:val="22"/>
          <w:szCs w:val="22"/>
        </w:rPr>
        <w:t xml:space="preserve"> est gratuit.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95633D9" w14:textId="2B7E0BB8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25739BC" w14:textId="2565190D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Un état </w:t>
      </w:r>
      <w:r>
        <w:rPr>
          <w:rFonts w:asciiTheme="majorHAnsi" w:hAnsiTheme="majorHAnsi"/>
          <w:b/>
          <w:sz w:val="22"/>
          <w:szCs w:val="22"/>
        </w:rPr>
        <w:t xml:space="preserve">du matériel</w:t>
      </w:r>
      <w:r>
        <w:rPr>
          <w:rFonts w:asciiTheme="majorHAnsi" w:hAnsiTheme="majorHAnsi"/>
          <w:b/>
          <w:sz w:val="22"/>
          <w:szCs w:val="22"/>
        </w:rPr>
        <w:t xml:space="preserve"> établi au moment de l’enlèvement du Matériel est joi</w:t>
      </w:r>
      <w:r>
        <w:rPr>
          <w:rFonts w:asciiTheme="majorHAnsi" w:hAnsiTheme="majorHAnsi"/>
          <w:b/>
          <w:sz w:val="22"/>
          <w:szCs w:val="22"/>
        </w:rPr>
        <w:t xml:space="preserve">nt en </w:t>
      </w:r>
      <w:r>
        <w:rPr>
          <w:rFonts w:asciiTheme="majorHAnsi" w:hAnsiTheme="majorHAnsi"/>
          <w:b/>
          <w:sz w:val="22"/>
          <w:szCs w:val="22"/>
        </w:rPr>
        <w:t xml:space="preserve">ANNEXE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la </w:t>
      </w:r>
      <w:r>
        <w:rPr>
          <w:rFonts w:asciiTheme="majorHAnsi" w:hAnsiTheme="majorHAnsi"/>
          <w:b/>
          <w:sz w:val="22"/>
          <w:szCs w:val="22"/>
        </w:rPr>
        <w:t xml:space="preserve">présent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Con</w:t>
      </w:r>
      <w:r>
        <w:rPr>
          <w:rFonts w:asciiTheme="majorHAnsi" w:hAnsiTheme="majorHAnsi"/>
          <w:b/>
          <w:sz w:val="22"/>
          <w:szCs w:val="22"/>
        </w:rPr>
        <w:t xml:space="preserve">ven</w:t>
      </w:r>
      <w:r>
        <w:rPr>
          <w:rFonts w:asciiTheme="majorHAnsi" w:hAnsiTheme="majorHAnsi"/>
          <w:b/>
          <w:sz w:val="22"/>
          <w:szCs w:val="22"/>
        </w:rPr>
        <w:t xml:space="preserve">t</w:t>
      </w:r>
      <w:r>
        <w:rPr>
          <w:rFonts w:asciiTheme="majorHAnsi" w:hAnsiTheme="majorHAnsi"/>
          <w:b/>
          <w:sz w:val="22"/>
          <w:szCs w:val="22"/>
        </w:rPr>
        <w:t xml:space="preserve">ion</w:t>
      </w:r>
      <w:r>
        <w:rPr>
          <w:rFonts w:asciiTheme="majorHAnsi" w:hAnsiTheme="majorHAnsi"/>
          <w:b/>
          <w:sz w:val="22"/>
          <w:szCs w:val="22"/>
        </w:rPr>
        <w:t xml:space="preserve">.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De même, un état du Matériel sera établi au moment de sa restitution.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74E826A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F9AF314" w14:textId="07B8B3F9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5</w:t>
      </w:r>
      <w:r>
        <w:rPr>
          <w:rFonts w:asciiTheme="majorHAnsi" w:hAnsiTheme="majorHAnsi"/>
          <w:b/>
          <w:sz w:val="22"/>
          <w:szCs w:val="22"/>
        </w:rPr>
        <w:t xml:space="preserve"> : </w:t>
      </w:r>
      <w:r>
        <w:rPr>
          <w:rFonts w:asciiTheme="majorHAnsi" w:hAnsiTheme="majorHAnsi"/>
          <w:b/>
          <w:sz w:val="22"/>
          <w:szCs w:val="22"/>
        </w:rPr>
        <w:t xml:space="preserve">RESPONSABILITÉ ET ASSURANCE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66C171E" w14:textId="26C0E19C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s’engage à assurer la Mallette (dont la valeur est estimée à </w:t>
      </w:r>
      <w:r>
        <w:rPr>
          <w:rFonts w:asciiTheme="majorHAnsi" w:hAnsiTheme="majorHAnsi"/>
          <w:sz w:val="22"/>
          <w:szCs w:val="22"/>
        </w:rPr>
        <w:t xml:space="preserve">8</w:t>
      </w:r>
      <w:r>
        <w:rPr>
          <w:rFonts w:asciiTheme="majorHAnsi" w:hAnsiTheme="majorHAnsi"/>
          <w:sz w:val="22"/>
          <w:szCs w:val="22"/>
        </w:rPr>
        <w:t xml:space="preserve">5</w:t>
      </w:r>
      <w:r>
        <w:rPr>
          <w:rFonts w:asciiTheme="majorHAnsi" w:hAnsiTheme="majorHAnsi"/>
          <w:sz w:val="22"/>
          <w:szCs w:val="22"/>
        </w:rPr>
        <w:t xml:space="preserve">0</w:t>
      </w:r>
      <w:r>
        <w:rPr>
          <w:rFonts w:asciiTheme="majorHAnsi" w:hAnsiTheme="majorHAnsi"/>
          <w:sz w:val="22"/>
          <w:szCs w:val="22"/>
        </w:rPr>
        <w:t xml:space="preserve"> euros</w:t>
      </w:r>
      <w:r>
        <w:rPr>
          <w:rFonts w:asciiTheme="majorHAnsi" w:hAnsiTheme="majorHAnsi"/>
          <w:sz w:val="22"/>
          <w:szCs w:val="22"/>
        </w:rPr>
        <w:t xml:space="preserve"> : 650 euros pour le kit enr</w:t>
      </w:r>
      <w:r>
        <w:rPr>
          <w:rFonts w:asciiTheme="majorHAnsi" w:hAnsiTheme="majorHAnsi"/>
          <w:sz w:val="22"/>
          <w:szCs w:val="22"/>
        </w:rPr>
        <w:t xml:space="preserve">egistrement et 200 euros pour les</w:t>
      </w:r>
      <w:r>
        <w:rPr>
          <w:rFonts w:asciiTheme="majorHAnsi" w:hAnsiTheme="majorHAnsi"/>
          <w:sz w:val="22"/>
          <w:szCs w:val="22"/>
        </w:rPr>
        <w:t xml:space="preserve"> mallette</w:t>
      </w:r>
      <w:r>
        <w:rPr>
          <w:rFonts w:asciiTheme="majorHAnsi" w:hAnsiTheme="majorHAnsi"/>
          <w:sz w:val="22"/>
          <w:szCs w:val="22"/>
        </w:rPr>
        <w:t xml:space="preserve">s de</w:t>
      </w:r>
      <w:r>
        <w:rPr>
          <w:rFonts w:asciiTheme="majorHAnsi" w:hAnsiTheme="majorHAnsi"/>
          <w:sz w:val="22"/>
          <w:szCs w:val="22"/>
        </w:rPr>
        <w:t xml:space="preserve"> bruit</w:t>
      </w:r>
      <w:r>
        <w:rPr>
          <w:rFonts w:asciiTheme="majorHAnsi" w:hAnsiTheme="majorHAnsi"/>
          <w:sz w:val="22"/>
          <w:szCs w:val="22"/>
        </w:rPr>
        <w:t xml:space="preserve">age</w:t>
      </w:r>
      <w:r>
        <w:rPr>
          <w:rFonts w:asciiTheme="majorHAnsi" w:hAnsiTheme="majorHAnsi"/>
          <w:sz w:val="22"/>
          <w:szCs w:val="22"/>
        </w:rPr>
        <w:t xml:space="preserve">)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pendant</w:t>
      </w:r>
      <w:r>
        <w:rPr>
          <w:rFonts w:asciiTheme="majorHAnsi" w:hAnsiTheme="majorHAnsi"/>
          <w:sz w:val="22"/>
          <w:szCs w:val="22"/>
        </w:rPr>
        <w:t xml:space="preserve"> la période de prêt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auto"/>
          <w:sz w:val="22"/>
          <w:szCs w:val="22"/>
        </w:rPr>
        <w:t xml:space="preserve">transport inclus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En cas de sinistre, dégradation, perte ou vol de la Mallette, l</w:t>
      </w:r>
      <w:r>
        <w:rPr>
          <w:rFonts w:asciiTheme="majorHAnsi" w:hAnsiTheme="majorHAnsi"/>
          <w:sz w:val="22"/>
          <w:szCs w:val="22"/>
        </w:rPr>
        <w:t xml:space="preserve">’UTILISATEUR </w:t>
      </w:r>
      <w:r>
        <w:rPr>
          <w:rFonts w:asciiTheme="majorHAnsi" w:hAnsiTheme="majorHAnsi"/>
          <w:sz w:val="22"/>
          <w:szCs w:val="22"/>
        </w:rPr>
        <w:t xml:space="preserve">demeure entièrement responsable des dommages matériels </w:t>
      </w:r>
      <w:r>
        <w:rPr>
          <w:rFonts w:asciiTheme="majorHAnsi" w:hAnsiTheme="majorHAnsi"/>
          <w:sz w:val="22"/>
          <w:szCs w:val="22"/>
        </w:rPr>
        <w:t xml:space="preserve">causés</w:t>
      </w:r>
      <w:r>
        <w:rPr>
          <w:rFonts w:asciiTheme="majorHAnsi" w:hAnsiTheme="majorHAnsi"/>
          <w:sz w:val="22"/>
          <w:szCs w:val="22"/>
        </w:rPr>
        <w:t xml:space="preserve">, sans que la responsabilité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 ne puisse être recherchée. </w:t>
      </w:r>
      <w:r>
        <w:rPr>
          <w:rFonts w:asciiTheme="majorHAnsi" w:hAnsiTheme="majorHAnsi"/>
          <w:sz w:val="22"/>
          <w:szCs w:val="22"/>
        </w:rPr>
        <w:t xml:space="preserve">L’UTILISATEUR devra alors rembourser la Mallette ou l’Objet endommagé. </w:t>
      </w:r>
      <w:r>
        <w:rPr>
          <w:rFonts w:asciiTheme="majorHAnsi" w:hAnsiTheme="majorHAnsi"/>
          <w:sz w:val="22"/>
          <w:szCs w:val="22"/>
        </w:rPr>
        <w:t xml:space="preserve">Voir en annexe 1 la </w:t>
      </w:r>
      <w:r>
        <w:rPr>
          <w:rFonts w:asciiTheme="majorHAnsi" w:hAnsiTheme="majorHAnsi"/>
          <w:sz w:val="22"/>
          <w:szCs w:val="22"/>
        </w:rPr>
        <w:t xml:space="preserve">« </w:t>
      </w:r>
      <w:r>
        <w:rPr>
          <w:rFonts w:asciiTheme="majorHAnsi" w:hAnsiTheme="majorHAnsi"/>
          <w:sz w:val="22"/>
          <w:szCs w:val="22"/>
        </w:rPr>
        <w:t xml:space="preserve">police d’assurance</w:t>
      </w:r>
      <w:r>
        <w:rPr>
          <w:rFonts w:asciiTheme="majorHAnsi" w:hAnsiTheme="majorHAnsi"/>
          <w:sz w:val="22"/>
          <w:szCs w:val="22"/>
        </w:rPr>
        <w:t xml:space="preserve"> »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AE31B5F" w14:textId="3491FB7A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Il est entendu que tous dommages résultant d’une utilisation non conf</w:t>
      </w:r>
      <w:r>
        <w:rPr>
          <w:rFonts w:asciiTheme="majorHAnsi" w:hAnsiTheme="majorHAnsi"/>
          <w:sz w:val="22"/>
          <w:szCs w:val="22"/>
        </w:rPr>
        <w:t xml:space="preserve">orme du Matériel et non couverts par cette garantie pourront</w:t>
      </w:r>
      <w:r>
        <w:rPr>
          <w:rFonts w:asciiTheme="majorHAnsi" w:hAnsiTheme="majorHAnsi"/>
          <w:sz w:val="22"/>
          <w:szCs w:val="22"/>
        </w:rPr>
        <w:t xml:space="preserve"> entraîner la res</w:t>
      </w:r>
      <w:r>
        <w:rPr>
          <w:rFonts w:asciiTheme="majorHAnsi" w:hAnsiTheme="majorHAnsi"/>
          <w:sz w:val="22"/>
          <w:szCs w:val="22"/>
        </w:rPr>
        <w:t xml:space="preserve">ponsabilité de l’UTILISATEUR.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79A4D61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59E020D" w14:textId="60A613C1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6</w:t>
      </w:r>
      <w:r>
        <w:rPr>
          <w:rFonts w:asciiTheme="majorHAnsi" w:hAnsiTheme="majorHAnsi"/>
          <w:b/>
          <w:sz w:val="22"/>
          <w:szCs w:val="22"/>
        </w:rPr>
        <w:t xml:space="preserve"> :</w:t>
      </w:r>
      <w:r>
        <w:rPr>
          <w:rFonts w:asciiTheme="majorHAnsi" w:hAnsiTheme="majorHAnsi"/>
          <w:b/>
          <w:sz w:val="22"/>
          <w:szCs w:val="22"/>
        </w:rPr>
        <w:t xml:space="preserve"> DATE D’EFFET </w:t>
      </w:r>
      <w:r>
        <w:rPr>
          <w:rFonts w:asciiTheme="majorHAnsi" w:hAnsiTheme="majorHAnsi"/>
          <w:b/>
          <w:sz w:val="22"/>
          <w:szCs w:val="22"/>
        </w:rPr>
        <w:t xml:space="preserve">ET DURÉE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A3E85B5" w14:textId="515400FB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prend effet à compter de la date de </w:t>
      </w:r>
      <w:r>
        <w:rPr>
          <w:rFonts w:asciiTheme="majorHAnsi" w:hAnsiTheme="majorHAnsi"/>
          <w:sz w:val="22"/>
          <w:szCs w:val="22"/>
        </w:rPr>
        <w:t xml:space="preserve">début de prêt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644DB86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474254E" w14:textId="5BD9325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7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RÉSILIATION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78BBFC2" w14:textId="7A219A7E">
      <w:pPr>
        <w:pStyle w:val="1172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En cas d’inexécution </w:t>
      </w:r>
      <w:r>
        <w:rPr>
          <w:rFonts w:asciiTheme="majorHAnsi" w:hAnsiTheme="majorHAnsi"/>
          <w:sz w:val="22"/>
          <w:szCs w:val="22"/>
        </w:rPr>
        <w:t xml:space="preserve">par l’une ou l’autre des Parties </w:t>
      </w:r>
      <w:r>
        <w:rPr>
          <w:rFonts w:asciiTheme="majorHAnsi" w:hAnsiTheme="majorHAnsi"/>
          <w:sz w:val="22"/>
          <w:szCs w:val="22"/>
        </w:rPr>
        <w:t xml:space="preserve">de </w:t>
      </w:r>
      <w:r>
        <w:rPr>
          <w:rFonts w:asciiTheme="majorHAnsi" w:hAnsiTheme="majorHAnsi"/>
          <w:sz w:val="22"/>
          <w:szCs w:val="22"/>
        </w:rPr>
        <w:t xml:space="preserve">tout ou partie</w:t>
      </w:r>
      <w:r>
        <w:rPr>
          <w:rFonts w:asciiTheme="majorHAnsi" w:hAnsiTheme="majorHAnsi"/>
          <w:sz w:val="22"/>
          <w:szCs w:val="22"/>
        </w:rPr>
        <w:t xml:space="preserve"> des oblig</w:t>
      </w:r>
      <w:r>
        <w:rPr>
          <w:rFonts w:asciiTheme="majorHAnsi" w:hAnsiTheme="majorHAnsi"/>
          <w:sz w:val="22"/>
          <w:szCs w:val="22"/>
        </w:rPr>
        <w:t xml:space="preserve">ations prévues par 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celle</w:t>
      </w:r>
      <w:r>
        <w:rPr>
          <w:rFonts w:asciiTheme="majorHAnsi" w:hAnsiTheme="majorHAnsi"/>
          <w:sz w:val="22"/>
          <w:szCs w:val="22"/>
        </w:rPr>
        <w:t xml:space="preserve">-ci</w:t>
      </w:r>
      <w:r>
        <w:rPr>
          <w:rFonts w:asciiTheme="majorHAnsi" w:hAnsiTheme="majorHAnsi"/>
          <w:sz w:val="22"/>
          <w:szCs w:val="22"/>
        </w:rPr>
        <w:t xml:space="preserve"> sera résilié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de plein droit</w:t>
      </w:r>
      <w:r>
        <w:rPr>
          <w:rFonts w:asciiTheme="majorHAnsi" w:hAnsiTheme="majorHAnsi"/>
          <w:sz w:val="22"/>
          <w:szCs w:val="22"/>
        </w:rPr>
        <w:t xml:space="preserve"> aux </w:t>
      </w:r>
      <w:r>
        <w:rPr>
          <w:rFonts w:asciiTheme="majorHAnsi" w:hAnsiTheme="majorHAnsi"/>
          <w:sz w:val="22"/>
          <w:szCs w:val="22"/>
        </w:rPr>
        <w:t xml:space="preserve">torts</w:t>
      </w:r>
      <w:r>
        <w:rPr>
          <w:rFonts w:asciiTheme="majorHAnsi" w:hAnsiTheme="majorHAnsi"/>
          <w:sz w:val="22"/>
          <w:szCs w:val="22"/>
        </w:rPr>
        <w:t xml:space="preserve"> exclusifs de la Partie défaillante</w:t>
      </w:r>
      <w:r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AA675F4" w14:textId="77777777">
      <w:pPr>
        <w:pStyle w:val="1172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D737872" w14:textId="1355C14F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8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DIFFÉREND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47D5274" w14:textId="675A7372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 différend relatif à l’</w:t>
      </w:r>
      <w:r>
        <w:rPr>
          <w:rFonts w:asciiTheme="majorHAnsi" w:hAnsiTheme="majorHAnsi"/>
          <w:sz w:val="22"/>
          <w:szCs w:val="22"/>
        </w:rPr>
        <w:t xml:space="preserve">exécution</w:t>
      </w:r>
      <w:r>
        <w:rPr>
          <w:rFonts w:asciiTheme="majorHAnsi" w:hAnsiTheme="majorHAnsi"/>
          <w:sz w:val="22"/>
          <w:szCs w:val="22"/>
        </w:rPr>
        <w:t xml:space="preserve"> ou à l’interprétation des termes d</w:t>
      </w:r>
      <w:r>
        <w:rPr>
          <w:rFonts w:asciiTheme="majorHAnsi" w:hAnsiTheme="majorHAnsi"/>
          <w:sz w:val="22"/>
          <w:szCs w:val="22"/>
        </w:rPr>
        <w:t xml:space="preserve">e la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sera</w:t>
      </w:r>
      <w:r>
        <w:rPr>
          <w:rFonts w:asciiTheme="majorHAnsi" w:hAnsiTheme="majorHAnsi"/>
          <w:sz w:val="22"/>
          <w:szCs w:val="22"/>
        </w:rPr>
        <w:t xml:space="preserve"> réglé</w:t>
      </w:r>
      <w:r>
        <w:rPr>
          <w:rFonts w:asciiTheme="majorHAnsi" w:hAnsiTheme="majorHAnsi"/>
          <w:sz w:val="22"/>
          <w:szCs w:val="22"/>
        </w:rPr>
        <w:t xml:space="preserve"> par voie amiable.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A défaut de résolution amiable, le litige sera porté devant les tribunaux compétents de </w:t>
      </w:r>
      <w:r>
        <w:rPr>
          <w:rFonts w:asciiTheme="majorHAnsi" w:hAnsiTheme="majorHAnsi"/>
          <w:sz w:val="22"/>
          <w:szCs w:val="22"/>
        </w:rPr>
        <w:t xml:space="preserve">Strasbourg.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29AEE44" w14:textId="43E57B9B">
      <w:pPr>
        <w:pBdr/>
        <w:spacing/>
        <w:ind/>
        <w:contextualSpacing w:val="true"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est établi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en 2 exemplaires originaux, chacune des Parties reconnaissant avoir reçu le sien.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E4E64D8" w14:textId="7A4C0D20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Fait</w:t>
      </w:r>
      <w:r>
        <w:rPr>
          <w:rFonts w:asciiTheme="majorHAnsi" w:hAnsiTheme="majorHAnsi"/>
          <w:sz w:val="22"/>
          <w:szCs w:val="22"/>
        </w:rPr>
        <w:t xml:space="preserve"> à </w:t>
      </w:r>
      <w:r>
        <w:rPr>
          <w:rFonts w:asciiTheme="majorHAnsi" w:hAnsiTheme="majorHAnsi"/>
          <w:sz w:val="22"/>
          <w:szCs w:val="22"/>
        </w:rPr>
        <w:t xml:space="preserve">Strasbourg</w:t>
      </w:r>
      <w:r>
        <w:rPr>
          <w:rFonts w:asciiTheme="majorHAnsi" w:hAnsiTheme="majorHAnsi"/>
          <w:sz w:val="22"/>
          <w:szCs w:val="22"/>
        </w:rPr>
        <w:t xml:space="preserve">, le </w:t>
      </w:r>
      <w:r>
        <w:rPr>
          <w:rFonts w:asciiTheme="majorHAnsi" w:hAnsiTheme="majorHAnsi"/>
          <w:sz w:val="22"/>
          <w:szCs w:val="22"/>
          <w:highlight w:val="yellow"/>
        </w:rPr>
        <w:t xml:space="preserve">XXX</w:t>
      </w:r>
      <w:r>
        <w:rPr>
          <w:rFonts w:asciiTheme="majorHAnsi" w:hAnsiTheme="majorHAnsi"/>
          <w:i/>
          <w:sz w:val="22"/>
          <w:szCs w:val="22"/>
          <w:highlight w:val="yellow"/>
        </w:rPr>
        <w:t xml:space="preserve">.</w:t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4F07D60D" w14:textId="77777777">
      <w:pPr>
        <w:pStyle w:val="1172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07F66EB" w14:textId="60FD45FB">
      <w:pPr>
        <w:pStyle w:val="1172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Pour </w:t>
      </w:r>
      <w:r>
        <w:rPr>
          <w:rFonts w:asciiTheme="majorHAnsi" w:hAnsiTheme="majorHAnsi"/>
          <w:sz w:val="22"/>
          <w:szCs w:val="22"/>
        </w:rPr>
        <w:t xml:space="preserve">le RECIT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  <w:highlight w:val="yellow"/>
        </w:rPr>
        <w:t xml:space="preserve">Pour </w:t>
      </w:r>
      <w:r>
        <w:rPr>
          <w:rFonts w:asciiTheme="majorHAnsi" w:hAnsiTheme="majorHAnsi"/>
          <w:sz w:val="22"/>
          <w:szCs w:val="22"/>
          <w:highlight w:val="yellow"/>
        </w:rPr>
        <w:t xml:space="preserve">L’UTILISATEUR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29C24E7" w14:textId="77777777">
      <w:pPr>
        <w:pStyle w:val="1172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B40A275" w14:textId="3DE2395E">
      <w:pPr>
        <w:pStyle w:val="1172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Laura </w:t>
      </w:r>
      <w:r>
        <w:rPr>
          <w:rFonts w:asciiTheme="majorHAnsi" w:hAnsiTheme="majorHAnsi"/>
          <w:sz w:val="22"/>
          <w:szCs w:val="22"/>
        </w:rPr>
        <w:t xml:space="preserve">Cassarino</w:t>
      </w:r>
      <w:r>
        <w:rPr>
          <w:rFonts w:asciiTheme="majorHAnsi" w:hAnsiTheme="majorHAnsi"/>
          <w:sz w:val="22"/>
          <w:szCs w:val="22"/>
        </w:rPr>
        <w:t xml:space="preserve">,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868277A" w14:textId="0B79CD6D">
      <w:pPr>
        <w:pStyle w:val="1172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eastAsia="Times New Roman"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Président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br w:type="page" w:clear="all"/>
      </w:r>
      <w:r>
        <w:rPr>
          <w:rFonts w:eastAsia="Times New Roman" w:asciiTheme="majorHAnsi" w:hAnsiTheme="majorHAnsi"/>
          <w:color w:val="auto"/>
          <w:sz w:val="22"/>
          <w:szCs w:val="22"/>
        </w:rPr>
      </w:r>
      <w:r>
        <w:rPr>
          <w:rFonts w:eastAsia="Times New Roman" w:asciiTheme="majorHAnsi" w:hAnsiTheme="majorHAnsi"/>
          <w:color w:val="auto"/>
          <w:sz w:val="22"/>
          <w:szCs w:val="22"/>
        </w:rPr>
      </w:r>
    </w:p>
    <w:p w14:paraId="031491C2" w14:textId="483301E3">
      <w:pPr>
        <w:pBdr/>
        <w:spacing w:after="120" w:line="276" w:lineRule="auto"/>
        <w:ind/>
        <w:jc w:val="center"/>
        <w:rPr>
          <w:rFonts w:asciiTheme="majorHAnsi" w:hAnsiTheme="majorHAnsi"/>
          <w:b/>
          <w:lang w:eastAsia="fr-FR"/>
        </w:rPr>
      </w:pPr>
      <w:r>
        <w:rPr>
          <w:rFonts w:asciiTheme="majorHAnsi" w:hAnsiTheme="majorHAnsi"/>
          <w:b/>
          <w:lang w:eastAsia="fr-FR"/>
        </w:rPr>
        <w:t xml:space="preserve">ANNEXE</w:t>
      </w:r>
      <w:r>
        <w:rPr>
          <w:rFonts w:asciiTheme="majorHAnsi" w:hAnsiTheme="majorHAnsi"/>
          <w:b/>
          <w:lang w:eastAsia="fr-FR"/>
        </w:rPr>
        <w:t xml:space="preserve"> 1</w:t>
      </w:r>
      <w:r>
        <w:rPr>
          <w:rFonts w:asciiTheme="majorHAnsi" w:hAnsiTheme="majorHAnsi"/>
          <w:b/>
          <w:lang w:eastAsia="fr-FR"/>
        </w:rPr>
      </w:r>
      <w:r>
        <w:rPr>
          <w:rFonts w:asciiTheme="majorHAnsi" w:hAnsiTheme="majorHAnsi"/>
          <w:b/>
          <w:lang w:eastAsia="fr-FR"/>
        </w:rPr>
      </w:r>
    </w:p>
    <w:p w14:paraId="30EF4BC2" w14:textId="3BB3EBD5">
      <w:pPr>
        <w:pBdr/>
        <w:spacing w:after="120"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« POLICE D’ASSURANCE »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06B1A42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6E45163" w14:textId="1CC123DD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1 – DÉFINITIONS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53C1E63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ACCIDENT : tout événement soudain, imprévu et extérieur au bien endommagé, constituant la cause des dommages matériels.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68C5CB21" w14:textId="02B20FA0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LIMITES TERRITORIALES : </w:t>
      </w:r>
      <w:r>
        <w:rPr>
          <w:rFonts w:asciiTheme="majorHAnsi" w:hAnsiTheme="majorHAnsi"/>
          <w:sz w:val="22"/>
          <w:szCs w:val="22"/>
          <w:lang w:eastAsia="fr-FR"/>
        </w:rPr>
        <w:t xml:space="preserve">France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2109B5D8" w14:textId="3889A0E3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2 – OBJET DE LA GARANTIE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55BA4D05" w14:textId="6A92150C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La </w:t>
      </w:r>
      <w:r>
        <w:rPr>
          <w:rFonts w:asciiTheme="majorHAnsi" w:hAnsiTheme="majorHAnsi"/>
          <w:sz w:val="22"/>
          <w:szCs w:val="22"/>
          <w:lang w:eastAsia="fr-FR"/>
        </w:rPr>
        <w:t xml:space="preserve">police d’assurance souscrite </w:t>
      </w:r>
      <w:r>
        <w:rPr>
          <w:rFonts w:asciiTheme="majorHAnsi" w:hAnsiTheme="majorHAnsi"/>
          <w:sz w:val="22"/>
          <w:szCs w:val="22"/>
          <w:lang w:eastAsia="fr-FR"/>
        </w:rPr>
        <w:t xml:space="preserve">a pour objet de garantir l'assuré contre tous risques de perte, bris ou destruction accidentels, subis par le matériel, que ce soit au repos, en activité et en cours ou à l'occasion d'un transport lorsqu'ils résultent de :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9ACFEDF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chute, choc, heurt contre un corps fixe ou mobile,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CBA7559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vol en tous lieux avec effraction,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2834A3F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incendie, explosions, implosions, chute de la foudre,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683CD6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de l'électricité sans incendie,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96C57AB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ou irruption de liquides de toute nature et de quelque origine qu'elle soit,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C6BEDC6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tempête, ouragan, trombe, cyclone,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38D96AC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gel,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02E274A" w14:textId="245A5F48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acte de malveillance, sabotage ou de vandalisme commis par des préposés de l'assuré ou par des tiers, ou commis à l'occasion d'une grève, d'une émeute ou d'un mouvement populaire.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36771D4" w14:textId="77777777">
      <w:pPr>
        <w:pBdr/>
        <w:spacing w:after="120"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426B03F8" w14:textId="12EE08DF">
      <w:pPr>
        <w:pBdr/>
        <w:spacing w:after="120"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3 – EXCLUSIONS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FC6C0BC" w14:textId="013E4FAB">
      <w:pPr>
        <w:pBdr/>
        <w:spacing w:after="120"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SONT EXCLUS LES DOMMAGES :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A06EFB7" w14:textId="2D87B695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RESULTANT DE VICE PROPRE, DE CONDITIONS ANORMALES D'UTILISATION OU DE DEFAUT D'ENTRETIEN DU MATERIEL GARANTI,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272736EB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SUBIS PAR LES PIECES NECESSITANT UN REMPLACEMENT PERIODIQUE, SAUF SI CES DOMMAGES SONT LA CONSEQUENCE D'UN SINISTRE ATTEIGNANT LE MATERIEL DANS SON ENSEMBLE,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26729D61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DUS A L'USURE, LA DETERIORATION PROGRESSIVE, LA ROUILLE, LA CORROSION, AUX RAYURES SUR DES SURFACES PEINTES OU POLIES, A L'HUMIDITE ET A LA CONDENSATION,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160C5B12" w14:textId="3F97918E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DE TAGS OU GRAFFITIS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30E8A4B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RESULTANT D'INCIDENTS D'EXPLOITATION A LA SUITE NOTAMMENT DE GRIPPAGE, DEREGLAGE, VIBRATION, SURVITESSE, FORCE CENTRIFUGE,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FDC4766" w14:textId="6560DAE2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b/>
          <w:sz w:val="22"/>
          <w:szCs w:val="22"/>
          <w:lang w:eastAsia="fr-FR"/>
        </w:rPr>
        <w:tab/>
        <w:t xml:space="preserve">AUX 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APPAREILS LAISSES LA NUIT DE 22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H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 A 6</w:t>
      </w:r>
      <w:r>
        <w:rPr>
          <w:rFonts w:asciiTheme="majorHAnsi" w:hAnsiTheme="majorHAnsi"/>
          <w:b/>
          <w:sz w:val="22"/>
          <w:szCs w:val="22"/>
          <w:lang w:eastAsia="fr-FR"/>
        </w:rPr>
        <w:t xml:space="preserve">H DANS LES VEHICULES STATIONNANT HORS LOCAUX FERMES A CLE OU DE JOUR DANS LES VEHICULES NON FERMES A CLE.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C5DAE06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0E9F6EB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AB284F0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DA2D6DD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B199070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A061CA8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2768EFC" w14:textId="0F2F4984">
      <w:pPr>
        <w:pBdr/>
        <w:spacing w:line="276" w:lineRule="auto"/>
        <w:ind/>
        <w:jc w:val="center"/>
        <w:rPr>
          <w:rFonts w:asciiTheme="majorHAnsi" w:hAnsiTheme="majorHAnsi"/>
          <w:b/>
          <w:lang w:eastAsia="fr-FR"/>
        </w:rPr>
      </w:pPr>
      <w:r>
        <w:rPr>
          <w:rFonts w:asciiTheme="majorHAnsi" w:hAnsiTheme="majorHAnsi"/>
          <w:b/>
          <w:lang w:eastAsia="fr-FR"/>
        </w:rPr>
        <w:t xml:space="preserve">ANNEXE </w:t>
      </w:r>
      <w:r>
        <w:rPr>
          <w:rFonts w:asciiTheme="majorHAnsi" w:hAnsiTheme="majorHAnsi"/>
          <w:b/>
          <w:lang w:eastAsia="fr-FR"/>
        </w:rPr>
        <w:t xml:space="preserve">2</w:t>
      </w:r>
      <w:r>
        <w:rPr>
          <w:rFonts w:asciiTheme="majorHAnsi" w:hAnsiTheme="majorHAnsi"/>
          <w:b/>
          <w:lang w:eastAsia="fr-FR"/>
        </w:rPr>
        <w:t xml:space="preserve"> : Contenu du Kit enregistrement</w:t>
      </w:r>
      <w:r>
        <w:rPr>
          <w:rFonts w:asciiTheme="majorHAnsi" w:hAnsiTheme="majorHAnsi"/>
          <w:b/>
          <w:lang w:eastAsia="fr-FR"/>
        </w:rPr>
      </w:r>
      <w:r>
        <w:rPr>
          <w:rFonts w:asciiTheme="majorHAnsi" w:hAnsiTheme="majorHAnsi"/>
          <w:b/>
          <w:lang w:eastAsia="fr-FR"/>
        </w:rPr>
      </w:r>
    </w:p>
    <w:p w14:paraId="7A81D0CC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61342A54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707C580D" w14:textId="77777777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AB1440A" w14:textId="77777777">
      <w:pPr>
        <w:pStyle w:val="1172"/>
        <w:pBdr/>
        <w:spacing w:after="120"/>
        <w:ind w:right="290" w:hanging="700" w:left="70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074EE91" w14:textId="77777777">
      <w:pPr>
        <w:pStyle w:val="1172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Dans la valise :</w:t>
      </w: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</w:p>
    <w:p w14:paraId="0B27F203" w14:textId="77777777">
      <w:pPr>
        <w:pStyle w:val="1172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</w:p>
    <w:p w14:paraId="50F11CDF" w14:textId="5974E24A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bCs/>
          <w:sz w:val="24"/>
          <w:szCs w:val="24"/>
        </w:rPr>
        <w:t xml:space="preserve">un enregistreur numérique</w:t>
      </w:r>
      <w:hyperlink r:id="rId14" w:tooltip="http://tascam.com/product/dr-100/" w:history="1">
        <w:r>
          <w:rPr>
            <w:rStyle w:val="1181"/>
            <w:rFonts w:asciiTheme="majorHAnsi" w:hAnsiTheme="majorHAnsi"/>
            <w:sz w:val="24"/>
            <w:szCs w:val="24"/>
          </w:rPr>
          <w:t xml:space="preserve"> </w:t>
        </w:r>
        <w:r>
          <w:rPr>
            <w:rStyle w:val="1181"/>
            <w:rFonts w:asciiTheme="majorHAnsi" w:hAnsiTheme="majorHAnsi"/>
            <w:sz w:val="24"/>
            <w:szCs w:val="24"/>
          </w:rPr>
          <w:t xml:space="preserve">Tascam</w:t>
        </w:r>
        <w:r>
          <w:rPr>
            <w:rStyle w:val="1181"/>
            <w:rFonts w:asciiTheme="majorHAnsi" w:hAnsiTheme="majorHAnsi"/>
            <w:sz w:val="24"/>
            <w:szCs w:val="24"/>
          </w:rPr>
          <w:t xml:space="preserve"> DR 100</w:t>
        </w:r>
      </w:hyperlink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</w:rPr>
        <w:t xml:space="preserve">(</w:t>
      </w:r>
      <w:r>
        <w:rPr>
          <w:rFonts w:asciiTheme="majorHAnsi" w:hAnsiTheme="majorHAnsi"/>
        </w:rPr>
        <w:t xml:space="preserve">avec </w:t>
      </w:r>
      <w:r>
        <w:rPr>
          <w:rFonts w:asciiTheme="majorHAnsi" w:hAnsiTheme="majorHAnsi"/>
        </w:rPr>
        <w:t xml:space="preserve">deux micros internes et deux entrées XLR qu’on peut utiliser en plus: enregistrement en 4 pistes possible)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4CED7BF1" w14:textId="091E419E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4 à 6 piles rechargeables 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4DB899BA" w14:textId="25A11614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une </w:t>
      </w:r>
      <w:r>
        <w:rPr>
          <w:rFonts w:asciiTheme="majorHAnsi" w:hAnsiTheme="majorHAnsi"/>
          <w:sz w:val="24"/>
          <w:szCs w:val="24"/>
        </w:rPr>
        <w:t xml:space="preserve">rycote</w:t>
      </w:r>
      <w:r>
        <w:rPr>
          <w:rFonts w:asciiTheme="majorHAnsi" w:hAnsiTheme="majorHAnsi"/>
          <w:sz w:val="24"/>
          <w:szCs w:val="24"/>
        </w:rPr>
        <w:t xml:space="preserve"> pour </w:t>
      </w:r>
      <w:r>
        <w:rPr>
          <w:rFonts w:asciiTheme="majorHAnsi" w:hAnsiTheme="majorHAnsi"/>
          <w:sz w:val="24"/>
          <w:szCs w:val="24"/>
        </w:rPr>
        <w:t xml:space="preserve">Tascam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3DEE51DB" w14:textId="2C5F3CE1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une carte micro SD insérée dans le </w:t>
      </w:r>
      <w:r>
        <w:rPr>
          <w:rFonts w:asciiTheme="majorHAnsi" w:hAnsiTheme="majorHAnsi"/>
          <w:sz w:val="24"/>
          <w:szCs w:val="24"/>
        </w:rPr>
        <w:t xml:space="preserve">Tascam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7AC71DDD" w14:textId="4C94E03C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 lecteur de carte mémoire SD avec USB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43D1A949" w14:textId="58D80A2E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 dédoubleur mini-jack 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5D58350D" w14:textId="1986303D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 casque fermé </w:t>
      </w:r>
      <w:r>
        <w:rPr>
          <w:rFonts w:asciiTheme="majorHAnsi" w:hAnsiTheme="majorHAnsi"/>
          <w:sz w:val="24"/>
          <w:szCs w:val="24"/>
        </w:rPr>
        <w:t xml:space="preserve">Sennheiser</w:t>
      </w:r>
      <w:r>
        <w:rPr>
          <w:rFonts w:asciiTheme="majorHAnsi" w:hAnsiTheme="majorHAnsi"/>
          <w:sz w:val="24"/>
          <w:szCs w:val="24"/>
        </w:rPr>
        <w:t xml:space="preserve"> HD-205 II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7D1B6718" w14:textId="77777777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bCs/>
          <w:sz w:val="24"/>
          <w:szCs w:val="24"/>
        </w:rPr>
        <w:t xml:space="preserve">deux micros</w:t>
      </w:r>
      <w:r>
        <w:rPr>
          <w:rFonts w:asciiTheme="majorHAnsi" w:hAnsiTheme="majorHAnsi"/>
          <w:sz w:val="24"/>
          <w:szCs w:val="24"/>
        </w:rPr>
        <w:t xml:space="preserve"> </w:t>
      </w:r>
      <w:hyperlink r:id="rId15" w:tooltip="https://www.thomann.de/fr/beyerdynamic_mce530.htm" w:history="1">
        <w:r>
          <w:rPr>
            <w:rStyle w:val="1181"/>
            <w:rFonts w:asciiTheme="majorHAnsi" w:hAnsiTheme="majorHAnsi"/>
            <w:sz w:val="24"/>
            <w:szCs w:val="24"/>
          </w:rPr>
          <w:t xml:space="preserve">Beyerdynamic</w:t>
        </w:r>
        <w:r>
          <w:rPr>
            <w:rStyle w:val="1181"/>
            <w:rFonts w:asciiTheme="majorHAnsi" w:hAnsiTheme="majorHAnsi"/>
            <w:sz w:val="24"/>
            <w:szCs w:val="24"/>
          </w:rPr>
          <w:t xml:space="preserve"> MCE 530</w:t>
        </w:r>
      </w:hyperlink>
      <w:r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088E3B22" w14:textId="77777777">
      <w:pPr>
        <w:pStyle w:val="1172"/>
        <w:pBdr/>
        <w:spacing w:after="120"/>
        <w:ind w:right="290" w:firstLine="148" w:left="1268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avec leurs </w:t>
      </w:r>
      <w:r>
        <w:rPr>
          <w:rFonts w:asciiTheme="majorHAnsi" w:hAnsiTheme="majorHAnsi"/>
          <w:sz w:val="24"/>
          <w:szCs w:val="24"/>
        </w:rPr>
        <w:t xml:space="preserve">rycotes</w:t>
      </w: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1BF82444" w14:textId="1E8BEEBF">
      <w:pPr>
        <w:pStyle w:val="1172"/>
        <w:pBdr/>
        <w:spacing w:after="120"/>
        <w:ind w:right="290" w:firstLine="148" w:left="1976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et leurs câbles XLR 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199417CD" w14:textId="78488EDE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bCs/>
          <w:sz w:val="24"/>
          <w:szCs w:val="24"/>
        </w:rPr>
        <w:t xml:space="preserve">un support-pied pour le </w:t>
      </w:r>
      <w:r>
        <w:rPr>
          <w:rFonts w:asciiTheme="majorHAnsi" w:hAnsiTheme="majorHAnsi"/>
          <w:bCs/>
          <w:sz w:val="24"/>
          <w:szCs w:val="24"/>
        </w:rPr>
        <w:t xml:space="preserve">Tascam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6161D7CE" w14:textId="4D602940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4"/>
          <w:szCs w:val="24"/>
        </w:rPr>
        <w:t xml:space="preserve">☐</w:t>
      </w:r>
      <w:r>
        <w:rPr>
          <w:rFonts w:ascii="ＭＳ ゴシック" w:hAnsi="ＭＳ ゴシック" w:eastAsia="ＭＳ ゴシック"/>
          <w:sz w:val="24"/>
          <w:szCs w:val="24"/>
        </w:rPr>
        <w:t xml:space="preserve"> </w:t>
      </w:r>
      <w:r>
        <w:rPr>
          <w:rFonts w:asciiTheme="majorHAnsi" w:hAnsiTheme="majorHAnsi"/>
          <w:bCs/>
          <w:sz w:val="24"/>
          <w:szCs w:val="24"/>
        </w:rPr>
        <w:t xml:space="preserve">une notice d’utilisation pour le </w:t>
      </w:r>
      <w:r>
        <w:rPr>
          <w:rFonts w:asciiTheme="majorHAnsi" w:hAnsiTheme="majorHAnsi"/>
          <w:bCs/>
          <w:sz w:val="24"/>
          <w:szCs w:val="24"/>
        </w:rPr>
        <w:t xml:space="preserve">Tascam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01A0ECDB" w14:textId="77777777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5AB3A12" w14:textId="77777777">
      <w:pPr>
        <w:pStyle w:val="1172"/>
        <w:pBdr/>
        <w:spacing w:after="120"/>
        <w:ind w:right="290"/>
        <w:contextualSpacing w:val="true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4DF73F8" w14:textId="77777777">
      <w:pPr>
        <w:pStyle w:val="1172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En dehors de la valise :</w:t>
      </w: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</w:p>
    <w:p w14:paraId="190FB88F" w14:textId="77777777">
      <w:pPr>
        <w:pStyle w:val="1172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6B70D59C" w14:textId="067D897A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2"/>
          <w:szCs w:val="22"/>
        </w:rPr>
        <w:t xml:space="preserve">☐</w:t>
      </w:r>
      <w:r>
        <w:rPr>
          <w:rFonts w:ascii="ＭＳ ゴシック" w:hAnsi="ＭＳ ゴシック" w:eastAsia="ＭＳ ゴシック"/>
          <w:sz w:val="22"/>
          <w:szCs w:val="22"/>
        </w:rPr>
        <w:t xml:space="preserve"> </w:t>
      </w:r>
      <w:r>
        <w:rPr>
          <w:rFonts w:asciiTheme="majorHAnsi" w:hAnsiTheme="majorHAnsi"/>
          <w:bCs/>
          <w:sz w:val="24"/>
          <w:szCs w:val="24"/>
        </w:rPr>
        <w:t xml:space="preserve">une perche </w:t>
      </w:r>
      <w:r>
        <w:rPr>
          <w:rFonts w:asciiTheme="majorHAnsi" w:hAnsiTheme="majorHAnsi"/>
          <w:sz w:val="24"/>
          <w:szCs w:val="24"/>
        </w:rPr>
        <w:t xml:space="preserve">avec support pour mettre les deux micros en stéréo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62BFA207" w14:textId="5AAEFF1B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4"/>
          <w:szCs w:val="24"/>
        </w:rPr>
      </w:pPr>
      <w:r>
        <w:rPr>
          <w:rFonts w:hint="eastAsia" w:ascii="ＭＳ ゴシック" w:hAnsi="ＭＳ ゴシック" w:eastAsia="ＭＳ ゴシック"/>
          <w:sz w:val="22"/>
          <w:szCs w:val="22"/>
        </w:rPr>
        <w:t xml:space="preserve">☐</w:t>
      </w:r>
      <w:r>
        <w:rPr>
          <w:rFonts w:ascii="ＭＳ ゴシック" w:hAnsi="ＭＳ ゴシック" w:eastAsia="ＭＳ ゴシック"/>
          <w:sz w:val="22"/>
          <w:szCs w:val="22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un pied de micro </w:t>
      </w:r>
      <w:r>
        <w:rPr>
          <w:rFonts w:asciiTheme="majorHAnsi" w:hAnsiTheme="majorHAnsi"/>
          <w:sz w:val="24"/>
          <w:szCs w:val="24"/>
        </w:rPr>
        <w:t xml:space="preserve">Superlux</w:t>
      </w:r>
      <w:r>
        <w:rPr>
          <w:rFonts w:asciiTheme="majorHAnsi" w:hAnsiTheme="majorHAnsi"/>
          <w:sz w:val="24"/>
          <w:szCs w:val="24"/>
        </w:rPr>
        <w:t xml:space="preserve"> MS-108E </w:t>
      </w:r>
      <w:r>
        <w:rPr>
          <w:rFonts w:asciiTheme="majorHAnsi" w:hAnsiTheme="majorHAnsi"/>
          <w:sz w:val="24"/>
          <w:szCs w:val="24"/>
        </w:rPr>
      </w:r>
      <w:r>
        <w:rPr>
          <w:rFonts w:asciiTheme="majorHAnsi" w:hAnsiTheme="majorHAnsi"/>
          <w:sz w:val="24"/>
          <w:szCs w:val="24"/>
        </w:rPr>
      </w:r>
    </w:p>
    <w:p w14:paraId="6CB7D728" w14:textId="77777777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3C619F5" w14:textId="77777777">
      <w:pPr>
        <w:pStyle w:val="1172"/>
        <w:pBdr/>
        <w:spacing w:after="120"/>
        <w:ind w:right="290" w:left="560"/>
        <w:contextualSpacing w:val="true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FC09349" w14:textId="77777777">
      <w:pPr>
        <w:pStyle w:val="1172"/>
        <w:pBdr/>
        <w:spacing w:after="120"/>
        <w:ind w:right="290" w:hanging="700" w:left="70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3E3E801" w14:textId="6AD59BA2">
      <w:pPr>
        <w:pStyle w:val="1172"/>
        <w:pBdr/>
        <w:spacing w:after="120"/>
        <w:ind w:right="290" w:left="70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68EE693" w14:textId="77777777">
      <w:pPr>
        <w:pBdr/>
        <w:spacing/>
        <w:ind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br w:type="page" w:clear="all"/>
      </w:r>
      <w:r>
        <w:rPr>
          <w:rFonts w:ascii="Calibri" w:hAnsi="Calibri"/>
          <w:b/>
          <w:sz w:val="32"/>
        </w:rPr>
      </w:r>
      <w:r>
        <w:rPr>
          <w:rFonts w:ascii="Calibri" w:hAnsi="Calibri"/>
          <w:b/>
          <w:sz w:val="32"/>
        </w:rPr>
      </w:r>
    </w:p>
    <w:p w14:paraId="1FFA23A2" w14:textId="6C343BBB">
      <w:pPr>
        <w:pBdr/>
        <w:spacing/>
        <w:ind w:firstLine="993" w:left="33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ANNEXE 3 : </w:t>
      </w:r>
      <w:r>
        <w:rPr>
          <w:rFonts w:asciiTheme="majorHAnsi" w:hAnsiTheme="majorHAnsi"/>
          <w:b/>
          <w:sz w:val="22"/>
          <w:szCs w:val="22"/>
        </w:rPr>
        <w:t xml:space="preserve">Inventaire de la petite mallette de bruitage du RECIT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A35CACD" w14:textId="77777777">
      <w:pPr>
        <w:pBdr/>
        <w:spacing/>
        <w:ind w:firstLine="993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CB20937" w14:textId="77777777">
      <w:pPr>
        <w:pBdr/>
        <w:spacing/>
        <w:ind/>
        <w:jc w:val="both"/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pPr>
      <w:r>
        <w:rPr>
          <w:rFonts w:asciiTheme="majorHAnsi" w:hAnsiTheme="majorHAnsi"/>
          <w:sz w:val="22"/>
          <w:szCs w:val="22"/>
        </w:rPr>
        <w:t xml:space="preserve">La petite mallette de bruitage a été conçue pour bruiter le court métrage 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d’animation </w:t>
      </w:r>
      <w:r>
        <w:rPr>
          <w:rFonts w:eastAsia="Times New Roman" w:asciiTheme="majorHAnsi" w:hAnsiTheme="majorHAnsi"/>
          <w:i/>
          <w:sz w:val="22"/>
          <w:szCs w:val="22"/>
          <w:shd w:val="clear" w:color="auto" w:fill="ffffff"/>
          <w:lang w:eastAsia="fr-FR"/>
        </w:rPr>
        <w:t xml:space="preserve">Demain, il pleut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, réalisé par Mélanie 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Vialaneix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 et Anne-Céline 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Phanphengdy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. L’inventaire ci-dessous permet de savoir comment utiliser les différents objets qu’elle contient dans ce contexte, mais vous pouvez bien sûr aller plus loin.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r>
    </w:p>
    <w:p w14:paraId="78D2D758" w14:textId="77777777">
      <w:pPr>
        <w:pBdr/>
        <w:spacing/>
        <w:ind/>
        <w:jc w:val="both"/>
        <w:rPr>
          <w:rFonts w:eastAsia="Times New Roman" w:asciiTheme="majorHAnsi" w:hAnsiTheme="majorHAnsi"/>
          <w:sz w:val="22"/>
          <w:szCs w:val="22"/>
          <w:lang w:eastAsia="fr-FR"/>
        </w:rPr>
      </w:pPr>
      <w:r>
        <w:rPr>
          <w:rFonts w:eastAsia="Times New Roman" w:asciiTheme="majorHAnsi" w:hAnsiTheme="majorHAnsi"/>
          <w:sz w:val="22"/>
          <w:szCs w:val="22"/>
          <w:lang w:eastAsia="fr-FR"/>
        </w:rPr>
      </w:r>
      <w:r>
        <w:rPr>
          <w:rFonts w:eastAsia="Times New Roman" w:asciiTheme="majorHAnsi" w:hAnsiTheme="majorHAnsi"/>
          <w:sz w:val="22"/>
          <w:szCs w:val="22"/>
          <w:lang w:eastAsia="fr-FR"/>
        </w:rPr>
      </w:r>
      <w:r>
        <w:rPr>
          <w:rFonts w:eastAsia="Times New Roman" w:asciiTheme="majorHAnsi" w:hAnsiTheme="majorHAnsi"/>
          <w:sz w:val="22"/>
          <w:szCs w:val="22"/>
          <w:lang w:eastAsia="fr-FR"/>
        </w:rPr>
      </w:r>
    </w:p>
    <w:tbl>
      <w:tblPr>
        <w:tblInd w:w="-176" w:type="dxa"/>
        <w:tblW w:w="94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5953"/>
      </w:tblGrid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35186EA7" w14:textId="77777777">
            <w:pPr>
              <w:pBdr/>
              <w:spacing/>
              <w:ind w:right="1269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Description</w:t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559D72F" w14:textId="77777777">
            <w:pPr>
              <w:pBdr/>
              <w:spacing/>
              <w:ind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Effet sonore </w:t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5233ABF6" w14:textId="1ED6F7CC">
            <w:pPr>
              <w:pBdr/>
              <w:spacing/>
              <w:ind w:right="1269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Ballons de baudruche (x2)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2358CDF7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souffle, de respiration. Agités, ils simulent l'envol d'un oiseau. Frottés avec des doigts humides, imitent des explosions ou un feu d'artifice.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25035D84" w14:textId="74D28BBA">
            <w:pPr>
              <w:pBdr/>
              <w:spacing/>
              <w:ind w:right="1836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pier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bulle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D275C56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Percées délicatement, les bulles simulent des craquements, (cuisson dans une poêle ou des bûches dans un feu).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44FE705D" w14:textId="65AD4A79">
            <w:pPr>
              <w:pBdr/>
              <w:spacing/>
              <w:ind w:right="1269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Paquets de mouchoirs (x2)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7029726E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feu (en manipulant les paquets). A utiliser avec le son du papier bulle.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724CB1E5" w14:textId="49ECD086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Verre à eau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3518E23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vaisselle. Frappé délicatement on dirait une enclume.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5F8B78A5" w14:textId="3FC028DF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Sachet avec tissus nettoyants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4A02A70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feu, de pas, de frottement, de vêtements…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092E22E0" w14:textId="681E9AAE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Couvercle en métal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49FCB2DB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 (tic tac de l’horloge, bruits de cuisine, clic de lampe, combat à l'épée avec le tuyau, chevaliers en armure)…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388AA8D9" w14:textId="7E1C7BC0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trike/>
                <w:sz w:val="22"/>
                <w:szCs w:val="22"/>
              </w:rPr>
              <w:t xml:space="preserve">Pomme d’arrosoir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(et entonnoir pliable)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3A7C4BFF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d'eau qui se déverse. En soufflant dedans on peut faire un bruit de trompe.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35B6E4D8" w14:textId="1C131B7D">
            <w:pPr>
              <w:pBdr/>
              <w:spacing/>
              <w:ind/>
              <w:rPr>
                <w:rFonts w:asciiTheme="majorHAnsi" w:hAnsiTheme="majorHAnsi"/>
                <w:strike/>
                <w:sz w:val="22"/>
                <w:szCs w:val="22"/>
              </w:rPr>
            </w:pPr>
            <w:r>
              <w:rPr>
                <w:rFonts w:asciiTheme="majorHAnsi" w:hAnsiTheme="majorHAnsi"/>
                <w:strike/>
                <w:sz w:val="22"/>
                <w:szCs w:val="22"/>
              </w:rPr>
              <w:t xml:space="preserve">Bande magnétique </w:t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447614C6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des pas dans les feuilles mortes, ou crépitement de feu quand elle est pressée entre les mains.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533E22B7" w14:textId="13A23F3F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Gant en plastique transparent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11C6BBA2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Agité latéralement, il simule l'envol d'un oiseau.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29934C78" w14:textId="70D9FBA4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Couteau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(cou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teau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suisse)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12E96A2B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 (tic tac de l’horloge, bruits de cuisine, clic de lampe, combat à l'épée avec le tuyau, chevaliers en armure)…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14D4C2A0" w14:textId="5A3AC2DA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Bâton de pluie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413B32FD" w14:textId="10B74015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Imite le son de la pluie. Aussi cliquètements (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cf.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d’ordinateurs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bruits des machines dans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Matrix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…!)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0C0070A3" w14:textId="330555B4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Tuyau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7EDC71A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 (tic tac de l’horloge, bruits de cuisine, clic de lampe, combat à l'épée avec le couteau, chevaliers en armure)… En soufflant dedans on obtient des bruits de souffle ou de vent.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431"/>
        </w:trPr>
        <w:tc>
          <w:tcPr>
            <w:shd w:val="clear" w:color="auto" w:fill="auto"/>
            <w:tcBorders/>
            <w:tcW w:w="3545" w:type="dxa"/>
          </w:tcPr>
          <w:p w14:paraId="287A22D8" w14:textId="488E729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Bassine pliable (+ éponge)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70977D1A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d'eau (clapotis, vague, inondation, pas dans l’eau)…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6FF4B0EA" w14:textId="08B5FDF4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Rouleau de scotch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193405B5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d'orage, de déchirure ou d’explosion.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525C0F95" w14:textId="433158C2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Appeau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(en métal et bois)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30A8FDF" w14:textId="6CAE4118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Chants d’oiseaux.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0D884B1D" w14:textId="0A34478D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Grenouille en bois avec son bâton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40B63CED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d’une chaise en bois sur le sol, raclements…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44DDE5C9" w14:textId="0EA5BB9E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Poire à vent 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FC5248B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vent, de souffle…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3926785F" w14:textId="40E1F2DF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Pince en métal pliable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(couteau suisse)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13E4AE81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métal (tic tac de l’horloge, cuisine, clic de lampe, combat à l'épée avec le tuyau, chevaliers en armure)…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7CCCB751" w14:textId="26D20221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Serrure avec clé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54A193C3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serrure, bruits métalliques, bruit d’armes à feu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6F21257C" w14:textId="17347DEF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Boîte à musique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65A7F623" w14:textId="3C16A1B0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Mélodie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0FCB11E2" w14:textId="6D7B95DD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Parapluie et sac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de riz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7C79D4E7" w14:textId="32F72158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Pluie et bruits de vagues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545" w:type="dxa"/>
          </w:tcPr>
          <w:p w14:paraId="2419BBE2" w14:textId="2E0A9670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Radiographie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953" w:type="dxa"/>
          </w:tcPr>
          <w:p w14:paraId="0A498321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tonnerre, d’orage.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</w:tbl>
    <w:p w14:paraId="253DD55D" w14:textId="77777777">
      <w:pPr>
        <w:pBdr/>
        <w:spacing/>
        <w:ind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995AB1A" w14:textId="77777777">
      <w:pPr>
        <w:pBdr/>
        <w:spacing/>
        <w:ind w:firstLine="993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D06CE60" w14:textId="77777777">
      <w:pPr>
        <w:pBdr/>
        <w:spacing/>
        <w:ind w:firstLine="993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8239924" w14:textId="77777777">
      <w:pPr>
        <w:pBdr/>
        <w:spacing/>
        <w:ind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F6571B5" w14:textId="327C65F5">
      <w:pPr>
        <w:pBdr/>
        <w:spacing/>
        <w:ind w:firstLine="993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ANNEXE 4 : </w:t>
      </w:r>
      <w:r>
        <w:rPr>
          <w:rFonts w:asciiTheme="majorHAnsi" w:hAnsiTheme="majorHAnsi"/>
          <w:b/>
          <w:sz w:val="22"/>
          <w:szCs w:val="22"/>
        </w:rPr>
        <w:t xml:space="preserve">Inventaire de la grande mallette de bruitage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1C82A68" w14:textId="77777777">
      <w:pPr>
        <w:pBdr/>
        <w:spacing/>
        <w:ind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70FC926" w14:textId="77777777">
      <w:pPr>
        <w:pBdr/>
        <w:spacing/>
        <w:ind/>
        <w:jc w:val="both"/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pPr>
      <w:r>
        <w:rPr>
          <w:rFonts w:asciiTheme="majorHAnsi" w:hAnsiTheme="majorHAnsi"/>
          <w:sz w:val="22"/>
          <w:szCs w:val="22"/>
        </w:rPr>
        <w:t xml:space="preserve">La grande mallette de bruitage a été conçue pour compléter la petite mallette de bruitage. 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  <w:t xml:space="preserve">L’inventaire ci-dessous permet de savoir comment utiliser les différents objets qu’elle contient. La liste des bruitages possibles n’est pas exhaustive. A vous d’en chercher d’autres!</w:t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r>
      <w:r>
        <w:rPr>
          <w:rFonts w:eastAsia="Times New Roman" w:asciiTheme="majorHAnsi" w:hAnsiTheme="majorHAnsi"/>
          <w:sz w:val="22"/>
          <w:szCs w:val="22"/>
          <w:shd w:val="clear" w:color="auto" w:fill="ffffff"/>
          <w:lang w:eastAsia="fr-FR"/>
        </w:rPr>
      </w:r>
    </w:p>
    <w:p w14:paraId="23A489E7" w14:textId="77777777">
      <w:pPr>
        <w:pBdr/>
        <w:spacing/>
        <w:ind/>
        <w:jc w:val="both"/>
        <w:rPr>
          <w:rFonts w:eastAsia="Times New Roman" w:asciiTheme="majorHAnsi" w:hAnsiTheme="majorHAnsi"/>
          <w:sz w:val="22"/>
          <w:szCs w:val="22"/>
          <w:lang w:eastAsia="fr-FR"/>
        </w:rPr>
      </w:pPr>
      <w:r>
        <w:rPr>
          <w:rFonts w:eastAsia="Times New Roman" w:asciiTheme="majorHAnsi" w:hAnsiTheme="majorHAnsi"/>
          <w:sz w:val="22"/>
          <w:szCs w:val="22"/>
          <w:lang w:eastAsia="fr-FR"/>
        </w:rPr>
      </w:r>
      <w:r>
        <w:rPr>
          <w:rFonts w:eastAsia="Times New Roman" w:asciiTheme="majorHAnsi" w:hAnsiTheme="majorHAnsi"/>
          <w:sz w:val="22"/>
          <w:szCs w:val="22"/>
          <w:lang w:eastAsia="fr-FR"/>
        </w:rPr>
      </w:r>
      <w:r>
        <w:rPr>
          <w:rFonts w:eastAsia="Times New Roman" w:asciiTheme="majorHAnsi" w:hAnsiTheme="majorHAnsi"/>
          <w:sz w:val="22"/>
          <w:szCs w:val="22"/>
          <w:lang w:eastAsia="fr-FR"/>
        </w:rPr>
      </w:r>
    </w:p>
    <w:p w14:paraId="7A4B2740" w14:textId="77777777">
      <w:pPr>
        <w:pBdr/>
        <w:spacing/>
        <w:ind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Merci</w:t>
      </w:r>
      <w:r>
        <w:rPr>
          <w:rFonts w:asciiTheme="majorHAnsi" w:hAnsiTheme="majorHAnsi"/>
          <w:sz w:val="28"/>
          <w:szCs w:val="28"/>
        </w:rPr>
        <w:t xml:space="preserve"> de ranger les éléments tels que vous les avez trouvés après utilisation.</w:t>
      </w:r>
      <w:r>
        <w:rPr>
          <w:rFonts w:asciiTheme="majorHAnsi" w:hAnsiTheme="majorHAnsi"/>
          <w:sz w:val="28"/>
          <w:szCs w:val="28"/>
        </w:rPr>
      </w:r>
      <w:r>
        <w:rPr>
          <w:rFonts w:asciiTheme="majorHAnsi" w:hAnsiTheme="majorHAnsi"/>
          <w:sz w:val="28"/>
          <w:szCs w:val="28"/>
        </w:rPr>
      </w:r>
    </w:p>
    <w:p w14:paraId="302DB544" w14:textId="77777777">
      <w:pPr>
        <w:pBdr/>
        <w:spacing/>
        <w:ind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tbl>
      <w:tblPr>
        <w:tblW w:w="93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3794"/>
        <w:gridCol w:w="5528"/>
      </w:tblGrid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648FC4A6" w14:textId="77777777">
            <w:pPr>
              <w:pBdr/>
              <w:spacing/>
              <w:ind w:right="1269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Description</w:t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A77F110" w14:textId="77777777">
            <w:pPr>
              <w:pBdr/>
              <w:spacing/>
              <w:ind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Effet sonore</w:t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  <w:r>
              <w:rPr>
                <w:rFonts w:asciiTheme="majorHAnsi" w:hAnsiTheme="majorHAnsi"/>
                <w:b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C24FABC" w14:textId="3BCDCEEA">
            <w:pPr>
              <w:pBdr/>
              <w:spacing/>
              <w:ind w:right="601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Demi noix de coco (x2)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1B3E219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Imite le bruit des sabots de chevaux (pas, trot, galop).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1E4D1AE4" w14:textId="2EED02CB">
            <w:pPr>
              <w:pBdr/>
              <w:spacing/>
              <w:ind w:right="1836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Chaîne en métal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F0D5720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métalliques, fait penser aux fantômes; utilisée sur un tambourin, peut simuler un roulement de tambour.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1ECBD42B" w14:textId="3206C494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Jazzo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-flûte (flûte à coulisse)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C973F94" w14:textId="77777777">
            <w:pPr>
              <w:pBdr/>
              <w:spacing/>
              <w:ind/>
              <w:rPr>
                <w:rFonts w:eastAsia="Times New Roman" w:asciiTheme="majorHAnsi" w:hAnsiTheme="majorHAnsi"/>
                <w:sz w:val="22"/>
                <w:szCs w:val="22"/>
                <w:lang w:eastAsia="fr-FR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Chute ou départ rapide. Souvent utilisée dans les dessins animés pour son effet comique, permet le </w:t>
            </w:r>
            <w:r>
              <w:rPr>
                <w:rFonts w:eastAsia="Times New Roman" w:asciiTheme="majorHAnsi" w:hAnsiTheme="majorHAnsi"/>
                <w:color w:val="202122"/>
                <w:sz w:val="22"/>
                <w:szCs w:val="22"/>
                <w:shd w:val="clear" w:color="auto" w:fill="ffffff"/>
                <w:lang w:eastAsia="fr-FR"/>
              </w:rPr>
              <w:t xml:space="preserve">glissement continu d'une note à une autre.</w:t>
            </w:r>
            <w:r>
              <w:rPr>
                <w:rFonts w:eastAsia="Times New Roman" w:asciiTheme="majorHAnsi" w:hAnsiTheme="majorHAnsi"/>
                <w:sz w:val="22"/>
                <w:szCs w:val="22"/>
                <w:lang w:eastAsia="fr-FR"/>
              </w:rPr>
            </w:r>
            <w:r>
              <w:rPr>
                <w:rFonts w:eastAsia="Times New Roman" w:asciiTheme="majorHAnsi" w:hAnsiTheme="majorHAnsi"/>
                <w:sz w:val="22"/>
                <w:szCs w:val="22"/>
                <w:lang w:eastAsia="fr-FR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3065DB4" w14:textId="283405CA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Sifflets multicolores à roulettes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(x8)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16458DEC" w14:textId="77777777">
            <w:pPr>
              <w:pBdr/>
              <w:spacing/>
              <w:ind/>
              <w:rPr>
                <w:rFonts w:asciiTheme="majorHAnsi" w:hAnsi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Chute ou départ rapide. Souvent utilisée dans les dessins animés pour son effet comique</w:t>
            </w:r>
            <w:r>
              <w:rPr>
                <w:rFonts w:eastAsia="Times New Roman" w:asciiTheme="majorHAnsi" w:hAnsiTheme="majorHAnsi"/>
                <w:color w:val="202122"/>
                <w:sz w:val="22"/>
                <w:szCs w:val="22"/>
                <w:shd w:val="clear" w:color="auto" w:fill="ffffff"/>
                <w:lang w:eastAsia="fr-FR"/>
              </w:rPr>
              <w:t xml:space="preserve">.</w:t>
            </w:r>
            <w:r>
              <w:rPr>
                <w:rFonts w:asciiTheme="majorHAnsi" w:hAnsiTheme="majorHAnsi"/>
                <w:color w:val="ff0000"/>
                <w:sz w:val="22"/>
                <w:szCs w:val="22"/>
              </w:rPr>
            </w:r>
            <w:r>
              <w:rPr>
                <w:rFonts w:asciiTheme="majorHAnsi" w:hAnsiTheme="majorHAnsi"/>
                <w:color w:val="ff0000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74FC515" w14:textId="1144CA84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Clochette de chèvre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3A488A06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de troupeau, d'une clochette de porte d'entrée….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4157007F" w14:textId="566D555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Règle plate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1BADC82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de ressort, coup de pistolet.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3D75A24" w14:textId="72388988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(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Noix et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casse noix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7AA16AF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craquements.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62188D26" w14:textId="0902E7AA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Verre à pied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62EBD846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vaisselles, de soirée. On obtient un bruit aigu quand l’archet passe sur ses bords.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BD8A73F" w14:textId="337A4736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Rouleau de cellophane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194F4D5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Insérer une clé dans un verre recouvert de cellophane et on obtient le bruit d'un verre qui se brise.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59ACD73A" w14:textId="369F352E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Clé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56C9A143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Insérer une clé dans un verre recouvert de cellophane et on obtient le bruit d'un verre qui se brise.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A6E3097" w14:textId="547EBA1B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Couvercles de casseroles (x2)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04B1494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 : vaisselle, cymbales, pas de chevaliers en armure, combats…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0813554" w14:textId="1F7AA895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Plat métallique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67E7B613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métalliques : vaisselle, cymbales, pas de chevaliers en armure, combats…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5E80B70" w14:textId="492BE8B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Kazoo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20B8727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Parler en l’ayant dans la bouche fait un son nasillard.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D1E715C" w14:textId="77777777">
            <w:pPr>
              <w:pBdr/>
              <w:spacing/>
              <w:ind/>
              <w:rPr>
                <w:rFonts w:asciiTheme="majorHAnsi" w:hAnsiTheme="majorHAnsi"/>
                <w:strike/>
                <w:sz w:val="22"/>
                <w:szCs w:val="22"/>
              </w:rPr>
            </w:pPr>
            <w:r>
              <w:rPr>
                <w:rFonts w:asciiTheme="majorHAnsi" w:hAnsiTheme="majorHAnsi"/>
                <w:strike/>
                <w:sz w:val="22"/>
                <w:szCs w:val="22"/>
              </w:rPr>
              <w:t xml:space="preserve">Cravache</w:t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3EF93DE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Départ rapide d'un personnage, volée de flèches…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0E5A3EA" w14:textId="088F8482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Sifflet (x3)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34CE4810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Son de sifflets…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8DB295D" w14:textId="64E92F68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Cymbale tibétaine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ACE9E23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cymbale, a une longue résonance. Peut être utilisée avec un maillet.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DE4C8B3" w14:textId="241478E5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maillet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CF477DC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Pour taper sur différents éléments (tambourins,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cymbale…)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66DFFDB" w14:textId="741A5D21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Automate (jouet ancien)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4FD7668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d'une montre ou de tout objet dont on remonte le ressort, d’un mécanisme métallique, machine, usine…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6962A85" w14:textId="18B9886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Balle de ping-pong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39EA09A2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brefs. A faire rebondir, rouler…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001290B" w14:textId="7C0BAA6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Perceuse manuelle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77907CF5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d'une charrette dans un chemin de terre ou bruit d'un écrasement long… À utiliser sur différentes surfaces.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6EE3C7A2" w14:textId="1F1A6182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Paire de gants de vaisselle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336E8EE8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Agités latéralement, ils simulent l'envol d'un oiseau.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00611055" w14:textId="00AC4DD1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Boîte d’allumettes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6BC4740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Différents bruits d'allumage liés au feu.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7595FA7" w14:textId="3291E03D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Harmonica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AB74F34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de quelque chose qui monte ou qui descend ; instrument de musique.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4FBC8F93" w14:textId="3A56D250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Flûte à bec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FDCD631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Instrument de musique.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1651B8B7" w14:textId="38DA87D5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Balle de golf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5827F615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Roulée dans un tambourin, imite le bruit d'un orage.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5BC4535C" w14:textId="4F35244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Œuf maracas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15BEDD98" w14:textId="07FCFAAB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Percussions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1330C5F9" w14:textId="33263EA8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bookmarkStart w:id="0" w:name="_GoBack"/>
            <w:r/>
            <w:bookmarkEnd w:id="0"/>
            <w:r>
              <w:rPr>
                <w:rFonts w:asciiTheme="majorHAnsi" w:hAnsiTheme="majorHAnsi"/>
                <w:sz w:val="22"/>
                <w:szCs w:val="22"/>
              </w:rPr>
              <w:t xml:space="preserve">Vibraslap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5127A651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Stridulation. Peut faire penser au démarrage d'un moteur. Utilisé pour son effet comique dans les cartoon.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FFDE628" w14:textId="62263992">
            <w:pPr>
              <w:pBdr/>
              <w:tabs>
                <w:tab w:val="left" w:leader="none" w:pos="0"/>
              </w:tabs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Sachet de maïzena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A738B62" w14:textId="77777777">
            <w:pPr>
              <w:pBdr/>
              <w:spacing/>
              <w:ind w:left="33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Imite le son de la pluie. Cliquètements (utilisé dans 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Matrix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pour faire le bruit des machines dans une salle avec des ordinateurs).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04C84653" w14:textId="6F03EAF3">
            <w:pPr>
              <w:pBdr/>
              <w:tabs>
                <w:tab w:val="left" w:leader="none" w:pos="0"/>
              </w:tabs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Klaxon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123EA184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de klaxon de véhicules.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8E7721A" w14:textId="72B25E50">
            <w:pPr>
              <w:pBdr/>
              <w:tabs>
                <w:tab w:val="left" w:leader="none" w:pos="0"/>
              </w:tabs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Flexatone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621146BB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 de vent, d’extraterrestres, apporte une ambiance fantastique.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05586B3A" w14:textId="0439C6C6">
            <w:pPr>
              <w:pBdr/>
              <w:tabs>
                <w:tab w:val="left" w:leader="none" w:pos="0"/>
              </w:tabs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Pailles en plastique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C1631B7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En soufflant dans l'eau, on peut faire des bruits de bulles (plongeurs, par ex.). En les coupant, on peut les utiliser pour bruiter des insectes.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F2B7FD0" w14:textId="746214C1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Petit bâton en bois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2D35D14" w14:textId="0E13BCAD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Pour taper sur différents éléments (tambourins, cymbale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…)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DAED9A0" w14:textId="6749CEC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Sifflet de train en bois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7DF8FF1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Hurlement de train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47996A53" w14:textId="3426D5D9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Sifflet trompette 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6390DCB3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Imite la mouette…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  <w:p w14:paraId="476FA41B" w14:textId="77777777">
            <w:pPr>
              <w:pBdr/>
              <w:spacing/>
              <w:ind w:left="72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513384C7" w14:textId="3BEFE23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Boite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set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complet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d’instruments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(sans maracas)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(x2) 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079A65A" w14:textId="77777777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Différents instruments de musique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B6B8D73" w14:textId="572ABCB9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Appeau (en terre)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281E446E" w14:textId="6D006CF0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Chants d’oiseau (à utiliser avec de l’eau)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474076A2" w14:textId="34F45806">
            <w:pPr>
              <w:pBdr/>
              <w:spacing/>
              <w:ind w:left="284"/>
              <w:rPr>
                <w:rFonts w:asciiTheme="majorHAnsi" w:hAnsiTheme="majorHAnsi"/>
                <w:strike/>
                <w:sz w:val="22"/>
                <w:szCs w:val="22"/>
              </w:rPr>
            </w:pPr>
            <w:r>
              <w:rPr>
                <w:rFonts w:asciiTheme="majorHAnsi" w:hAnsiTheme="majorHAnsi"/>
                <w:strike/>
                <w:sz w:val="22"/>
                <w:szCs w:val="22"/>
              </w:rPr>
              <w:t xml:space="preserve">Boite à Meuh </w:t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  <w:r>
              <w:rPr>
                <w:rFonts w:asciiTheme="majorHAnsi" w:hAnsiTheme="majorHAnsi"/>
                <w:strike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F13F062" w14:textId="4C570F12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Meuh !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32471222" w14:textId="4208893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Une boîte de gants en latex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6B8F736C" w14:textId="73DC4CF6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Bruits de gants ou vêtements qu’on enfile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ou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qu’on retire. Bruits plastiques. Aussi pour manipuler les éléments de la mallette si besoin.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74D754F7" w14:textId="0E1E9C26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Tupperware contenant du riz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03E38F0E" w14:textId="3CC2E50C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Le riz versé dans un parapluie ouvert imite le bruit de la pluie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  <w:tr>
        <w:trPr>
          <w:trHeight w:val="137"/>
        </w:trPr>
        <w:tc>
          <w:tcPr>
            <w:shd w:val="clear" w:color="auto" w:fill="auto"/>
            <w:tcBorders/>
            <w:tcW w:w="3794" w:type="dxa"/>
          </w:tcPr>
          <w:p w14:paraId="24BEB67F" w14:textId="3D7D59E6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  <w:szCs w:val="22"/>
              </w:rPr>
              <w:t xml:space="preserve">☐</w:t>
            </w:r>
            <w:r>
              <w:rPr>
                <w:rFonts w:ascii="ＭＳ ゴシック" w:hAnsi="ＭＳ ゴシック" w:eastAsia="ＭＳ ゴシック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Parapluie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5528" w:type="dxa"/>
          </w:tcPr>
          <w:p w14:paraId="436BED18" w14:textId="2B91C35F">
            <w:pPr>
              <w:pBdr/>
              <w:spacing/>
              <w:ind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Le riz versé dans un parapluie ouvert imite le bruit de la pluie.</w:t>
            </w:r>
            <w:r>
              <w:rPr>
                <w:rFonts w:asciiTheme="majorHAnsi" w:hAnsiTheme="majorHAnsi"/>
                <w:sz w:val="22"/>
                <w:szCs w:val="22"/>
              </w:rPr>
            </w:r>
            <w:r>
              <w:rPr>
                <w:rFonts w:asciiTheme="majorHAnsi" w:hAnsiTheme="majorHAnsi"/>
                <w:sz w:val="22"/>
                <w:szCs w:val="22"/>
              </w:rPr>
            </w:r>
          </w:p>
        </w:tc>
      </w:tr>
    </w:tbl>
    <w:p w14:paraId="51D1DDB7" w14:textId="5D9B73F7">
      <w:pPr>
        <w:widowControl w:val="false"/>
        <w:pBdr/>
        <w:spacing/>
        <w:ind/>
        <w:rPr>
          <w:rFonts w:asciiTheme="majorHAnsi" w:hAnsiTheme="majorHAnsi"/>
          <w:sz w:val="22"/>
          <w:szCs w:val="22"/>
          <w:u w:val="single"/>
          <w:lang w:eastAsia="fr-FR"/>
        </w:rPr>
      </w:pPr>
      <w:r>
        <w:rPr>
          <w:rFonts w:asciiTheme="majorHAnsi" w:hAnsiTheme="majorHAnsi"/>
          <w:sz w:val="22"/>
          <w:szCs w:val="22"/>
          <w:u w:val="single"/>
          <w:lang w:eastAsia="fr-FR"/>
        </w:rPr>
      </w:r>
      <w:r>
        <w:rPr>
          <w:rFonts w:asciiTheme="majorHAnsi" w:hAnsiTheme="majorHAnsi"/>
          <w:sz w:val="22"/>
          <w:szCs w:val="22"/>
          <w:u w:val="single"/>
          <w:lang w:eastAsia="fr-FR"/>
        </w:rPr>
      </w:r>
      <w:r>
        <w:rPr>
          <w:rFonts w:asciiTheme="majorHAnsi" w:hAnsiTheme="majorHAnsi"/>
          <w:sz w:val="22"/>
          <w:szCs w:val="22"/>
          <w:u w:val="single"/>
          <w:lang w:eastAsia="fr-FR"/>
        </w:rPr>
      </w:r>
    </w:p>
    <w:p w14:paraId="7B339862" w14:textId="2FBCA146">
      <w:pPr>
        <w:widowControl w:val="false"/>
        <w:pBdr/>
        <w:spacing/>
        <w:ind/>
        <w:rPr>
          <w:rFonts w:ascii="Calibri" w:hAnsi="Calibri"/>
          <w:u w:val="single"/>
          <w:lang w:eastAsia="fr-FR"/>
        </w:rPr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226695</wp:posOffset>
                </wp:positionV>
                <wp:extent cx="5554980" cy="281940"/>
                <wp:effectExtent l="0" t="0" r="7620" b="0"/>
                <wp:wrapTight wrapText="bothSides">
                  <wp:wrapPolygon edited="1">
                    <wp:start x="0" y="0"/>
                    <wp:lineTo x="0" y="19459"/>
                    <wp:lineTo x="21531" y="19459"/>
                    <wp:lineTo x="21531" y="0"/>
                    <wp:lineTo x="0" y="0"/>
                  </wp:wrapPolygon>
                </wp:wrapTight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554980" cy="2819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671690" w14:textId="752153C2">
                            <w:pPr>
                              <w:pStyle w:val="1182"/>
                              <w:pBdr/>
                              <w:spacing/>
                              <w:ind/>
                              <w:jc w:val="center"/>
                              <w:rPr>
                                <w:rFonts w:cs="Arial" w:asciiTheme="majorHAnsi" w:hAnsiTheme="maj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Placez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dans la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malle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les deux protections en mousse après avoir fait l'inventaire et rangé le matériel</w:t>
                            </w:r>
                            <w:r>
                              <w:rPr>
                                <w:rFonts w:cs="Arial" w:asciiTheme="majorHAnsi" w:hAnsiTheme="maj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r>
                            <w:r>
                              <w:rPr>
                                <w:rFonts w:cs="Arial" w:asciiTheme="majorHAnsi" w:hAnsiTheme="maj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1" o:spid="_x0000_s1" o:spt="202" type="#_x0000_t202" style="position:absolute;z-index:251660288;o:allowoverlap:true;o:allowincell:true;mso-position-horizontal-relative:text;margin-left:5.15pt;mso-position-horizontal:absolute;mso-position-vertical-relative:text;margin-top:17.85pt;mso-position-vertical:absolute;width:437.40pt;height:22.20pt;mso-wrap-distance-left:9.00pt;mso-wrap-distance-top:0.00pt;mso-wrap-distance-right:9.00pt;mso-wrap-distance-bottom:0.00pt;v-text-anchor:top;visibility:visible;" wrapcoords="0 0 0 90088 99681 90088 99681 0 0 0" fillcolor="#FFFFFF" stroked="f">
                <w10:wrap type="tight"/>
                <v:textbox inset="0,0,0,0">
                  <w:txbxContent>
                    <w:p w14:paraId="59671690" w14:textId="752153C2">
                      <w:pPr>
                        <w:pStyle w:val="1182"/>
                        <w:pBdr/>
                        <w:spacing/>
                        <w:ind/>
                        <w:jc w:val="center"/>
                        <w:rPr>
                          <w:rFonts w:cs="Arial" w:asciiTheme="majorHAnsi" w:hAnsiTheme="maj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0"/>
                          <w:szCs w:val="20"/>
                        </w:rPr>
                        <w:t xml:space="preserve">Placez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0"/>
                          <w:szCs w:val="20"/>
                        </w:rPr>
                        <w:t xml:space="preserve"> dans la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0"/>
                          <w:szCs w:val="20"/>
                        </w:rPr>
                        <w:t xml:space="preserve">malle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0"/>
                          <w:szCs w:val="20"/>
                        </w:rPr>
                        <w:t xml:space="preserve"> les deux protections en mousse après avoir fait l'inventaire et rangé le matériel</w:t>
                      </w:r>
                      <w:r>
                        <w:rPr>
                          <w:rFonts w:cs="Arial" w:asciiTheme="majorHAnsi" w:hAnsiTheme="maj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r>
                      <w:r>
                        <w:rPr>
                          <w:rFonts w:cs="Arial" w:asciiTheme="majorHAnsi" w:hAnsiTheme="maj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u w:val="single"/>
          <w:lang w:eastAsia="fr-FR"/>
        </w:rPr>
      </w:r>
      <w:r>
        <w:rPr>
          <w:rFonts w:ascii="Calibri" w:hAnsi="Calibri"/>
          <w:u w:val="single"/>
          <w:lang w:eastAsia="fr-FR"/>
        </w:rPr>
      </w:r>
    </w:p>
    <w:p w14:paraId="0569DED1" w14:textId="19CBE128">
      <w:pPr>
        <w:widowControl w:val="false"/>
        <w:pBdr/>
        <w:spacing/>
        <w:ind/>
        <w:rPr>
          <w:rFonts w:ascii="Calibri" w:hAnsi="Calibri"/>
          <w:u w:val="single"/>
          <w:lang w:eastAsia="fr-FR"/>
        </w:rPr>
      </w:pPr>
      <w:r>
        <w:rPr>
          <w:rFonts w:ascii="Arial" w:hAnsi="Arial" w:cs="Arial"/>
          <w:sz w:val="16"/>
          <w:szCs w:val="16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349885</wp:posOffset>
                </wp:positionH>
                <wp:positionV relativeFrom="paragraph">
                  <wp:posOffset>-45085</wp:posOffset>
                </wp:positionV>
                <wp:extent cx="4612640" cy="3458845"/>
                <wp:effectExtent l="0" t="0" r="10160" b="0"/>
                <wp:wrapTight wrapText="bothSides">
                  <wp:wrapPolygon edited="1">
                    <wp:start x="0" y="0"/>
                    <wp:lineTo x="0" y="21414"/>
                    <wp:lineTo x="21529" y="21414"/>
                    <wp:lineTo x="21529" y="0"/>
                    <wp:lineTo x="0" y="0"/>
                  </wp:wrapPolygon>
                </wp:wrapTight>
                <wp:docPr id="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_6495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612640" cy="3458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8240;o:allowoverlap:true;o:allowincell:true;mso-position-horizontal-relative:text;margin-left:27.55pt;mso-position-horizontal:absolute;mso-position-vertical-relative:text;margin-top:-3.55pt;mso-position-vertical:absolute;width:363.20pt;height:272.35pt;mso-wrap-distance-left:9.00pt;mso-wrap-distance-top:0.00pt;mso-wrap-distance-right:9.00pt;mso-wrap-distance-bottom:0.00pt;z-index:1;" wrapcoords="0 0 0 99139 99671 99139 99671 0 0 0" stroked="false">
                <w10:wrap type="tight"/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Calibri" w:hAnsi="Calibri"/>
          <w:u w:val="single"/>
          <w:lang w:eastAsia="fr-FR"/>
        </w:rPr>
      </w:r>
      <w:r>
        <w:rPr>
          <w:rFonts w:ascii="Calibri" w:hAnsi="Calibri"/>
          <w:u w:val="single"/>
          <w:lang w:eastAsia="fr-FR"/>
        </w:rPr>
      </w:r>
    </w:p>
    <w:p w14:paraId="2A22BEAA" w14:textId="77777777">
      <w:pPr>
        <w:widowControl w:val="false"/>
        <w:pBdr/>
        <w:spacing/>
        <w:ind/>
        <w:rPr>
          <w:rFonts w:eastAsiaTheme="minorEastAsia"/>
          <w:color w:val="auto"/>
          <w:lang w:eastAsia="fr-FR"/>
        </w:rPr>
      </w:pPr>
      <w:r>
        <w:rPr>
          <w:rFonts w:eastAsiaTheme="minorEastAsia"/>
          <w:color w:val="auto"/>
          <w:lang w:eastAsia="fr-FR"/>
        </w:rPr>
      </w:r>
      <w:r>
        <w:rPr>
          <w:rFonts w:eastAsiaTheme="minorEastAsia"/>
          <w:color w:val="auto"/>
          <w:lang w:eastAsia="fr-FR"/>
        </w:rPr>
      </w:r>
      <w:r>
        <w:rPr>
          <w:rFonts w:eastAsiaTheme="minorEastAsia"/>
          <w:color w:val="auto"/>
          <w:lang w:eastAsia="fr-FR"/>
        </w:rPr>
      </w:r>
    </w:p>
    <w:p w14:paraId="27CA9798" w14:textId="4F13B600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7E86966E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C45F166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724A9E35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3A45463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2461AA1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167862F7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379545B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0A5EA80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7821CFE4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4316227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58F4F01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55D6B539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8F34013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16EDCFC1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C47D117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A2D3F1E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24DB1A9F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4990C7F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3C2594AB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08C5460E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131D4A13" w14:textId="77777777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p w14:paraId="428F5F0B" w14:textId="77777777">
      <w:pPr>
        <w:pStyle w:val="1172"/>
        <w:pBdr/>
        <w:spacing w:after="120" w:line="276" w:lineRule="auto"/>
        <w:ind w:right="290"/>
        <w:jc w:val="center"/>
        <w:rPr>
          <w:rFonts w:cs="Arial" w:asciiTheme="majorHAnsi" w:hAnsiTheme="majorHAnsi"/>
          <w:b/>
          <w:sz w:val="28"/>
          <w:szCs w:val="28"/>
        </w:rPr>
      </w:pPr>
      <w:r>
        <w:rPr>
          <w:rFonts w:cs="Arial" w:asciiTheme="majorHAnsi" w:hAnsiTheme="majorHAnsi"/>
          <w:b/>
          <w:sz w:val="28"/>
          <w:szCs w:val="28"/>
        </w:rPr>
        <w:t xml:space="preserve">BON DE RETOUR DU MATERIEL</w:t>
      </w: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</w:p>
    <w:p w14:paraId="113E0B3B" w14:textId="77777777">
      <w:pPr>
        <w:pStyle w:val="1172"/>
        <w:pBdr/>
        <w:tabs>
          <w:tab w:val="left" w:leader="none" w:pos="9064"/>
        </w:tabs>
        <w:spacing w:after="120" w:line="276" w:lineRule="auto"/>
        <w:ind w:right="-1001" w:left="-851"/>
        <w:rPr>
          <w:sz w:val="28"/>
          <w:szCs w:val="28"/>
        </w:rPr>
      </w:pPr>
      <w:r>
        <w:rPr>
          <w:rFonts w:ascii="Calibri" w:hAnsi="Calibri" w:cs="Arial"/>
          <w:i/>
          <w:color w:val="5f497a" w:themeColor="accent4" w:themeShade="BF"/>
          <w:sz w:val="24"/>
          <w:szCs w:val="24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4418EEF" w14:textId="77777777">
      <w:pPr>
        <w:pStyle w:val="1172"/>
        <w:pBdr/>
        <w:spacing w:after="120" w:line="276" w:lineRule="auto"/>
        <w:ind w:right="290" w:left="360"/>
        <w:jc w:val="center"/>
        <w:rPr>
          <w:rFonts w:cs="Arial" w:asciiTheme="majorHAnsi" w:hAnsiTheme="majorHAnsi"/>
          <w:b/>
          <w:sz w:val="28"/>
          <w:szCs w:val="28"/>
        </w:rPr>
      </w:pP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  <w:r>
        <w:rPr>
          <w:rFonts w:cs="Arial" w:asciiTheme="majorHAnsi" w:hAnsiTheme="majorHAnsi"/>
          <w:b/>
          <w:sz w:val="28"/>
          <w:szCs w:val="28"/>
        </w:rPr>
      </w:r>
    </w:p>
    <w:tbl>
      <w:tblPr>
        <w:tblStyle w:val="1183"/>
        <w:tblInd w:w="-743" w:type="dxa"/>
        <w:tblW w:w="10774" w:type="dxa"/>
        <w:tblBorders/>
        <w:tblLook w:val="04A0" w:firstRow="1" w:lastRow="0" w:firstColumn="1" w:lastColumn="0" w:noHBand="0" w:noVBand="1"/>
      </w:tblPr>
      <w:tblGrid>
        <w:gridCol w:w="5246"/>
        <w:gridCol w:w="5528"/>
      </w:tblGrid>
      <w:tr>
        <w:trPr>
          <w:trHeight w:val="556"/>
        </w:trPr>
        <w:tc>
          <w:tcPr>
            <w:tcBorders/>
            <w:tcW w:w="5246" w:type="dxa"/>
            <w:vMerge w:val="restart"/>
          </w:tcPr>
          <w:p w14:paraId="4C8F1BDC">
            <w:pPr>
              <w:pStyle w:val="1172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b w:val="0"/>
                <w:bCs w:val="0"/>
                <w:color w:val="604a7b" w:themeColor="accent4" w:themeShade="BF"/>
                <w:sz w:val="28"/>
                <w:szCs w:val="28"/>
              </w:rPr>
            </w:pPr>
            <w:r>
              <w:rPr>
                <w:rFonts w:ascii="Calibri" w:hAnsi="Calibri" w:cs="Arial"/>
                <w:b w:val="0"/>
                <w:bCs w:val="0"/>
                <w:color w:val="604a7b" w:themeColor="accent4" w:themeShade="BF"/>
                <w:sz w:val="28"/>
                <w:szCs w:val="28"/>
              </w:rPr>
              <w:t xml:space="preserve">Initiales personne du RECIT</w:t>
            </w:r>
            <w:r>
              <w:rPr>
                <w:rFonts w:ascii="Calibri" w:hAnsi="Calibri" w:cs="Arial"/>
                <w:b w:val="0"/>
                <w:bCs w:val="0"/>
                <w:color w:val="604a7b" w:themeColor="accent4" w:themeShade="BF"/>
                <w:sz w:val="28"/>
                <w:szCs w:val="28"/>
              </w:rPr>
            </w:r>
          </w:p>
        </w:tc>
        <w:tc>
          <w:tcPr>
            <w:tcBorders/>
            <w:tcW w:w="5528" w:type="dxa"/>
            <w:vMerge w:val="restart"/>
          </w:tcPr>
          <w:p w14:paraId="39947F14">
            <w:pPr>
              <w:pStyle w:val="1172"/>
              <w:pBdr/>
              <w:spacing w:after="120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998"/>
        </w:trPr>
        <w:tc>
          <w:tcPr>
            <w:tcBorders/>
            <w:tcW w:w="5246" w:type="dxa"/>
          </w:tcPr>
          <w:p w14:paraId="321518A7" w14:textId="77777777">
            <w:pPr>
              <w:pStyle w:val="1172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NOM prénom</w:t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6E5F907D" w14:textId="77777777">
            <w:pPr>
              <w:pStyle w:val="1172"/>
              <w:pBdr/>
              <w:tabs>
                <w:tab w:val="left" w:leader="none" w:pos="1500"/>
              </w:tabs>
              <w:spacing w:after="120"/>
              <w:ind w:left="170"/>
              <w:jc w:val="both"/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pPr>
            <w:r>
              <w:rPr>
                <w:rFonts w:ascii="Calibri" w:hAnsi="Calibri" w:cs="Arial"/>
                <w:color w:val="5f497a" w:themeColor="accent4" w:themeShade="BF"/>
                <w:sz w:val="24"/>
                <w:szCs w:val="24"/>
              </w:rPr>
              <w:t xml:space="preserve">de la personne en charge du retour du matériel</w:t>
            </w:r>
            <w:r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r>
            <w:r>
              <w:rPr>
                <w:rFonts w:ascii="Calibri" w:hAnsi="Calibri" w:cs="Arial"/>
                <w:color w:val="5f497a" w:themeColor="accent4" w:themeShade="BF"/>
                <w:sz w:val="16"/>
                <w:szCs w:val="16"/>
              </w:rPr>
            </w:r>
          </w:p>
        </w:tc>
        <w:tc>
          <w:tcPr>
            <w:tcBorders/>
            <w:tcW w:w="5528" w:type="dxa"/>
          </w:tcPr>
          <w:p w14:paraId="6336F2BC" w14:textId="77777777">
            <w:pPr>
              <w:pStyle w:val="1172"/>
              <w:pBdr/>
              <w:spacing w:after="120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684"/>
        </w:trPr>
        <w:tc>
          <w:tcPr>
            <w:tcBorders/>
            <w:tcW w:w="5246" w:type="dxa"/>
          </w:tcPr>
          <w:p w14:paraId="17742051" w14:textId="77777777">
            <w:pPr>
              <w:pStyle w:val="1172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br/>
            </w:r>
            <w:r>
              <w:rPr>
                <w:rFonts w:ascii="Calibri" w:hAnsi="Calibri" w:cs="Arial"/>
                <w:b/>
                <w:sz w:val="28"/>
                <w:szCs w:val="28"/>
              </w:rPr>
              <w:t xml:space="preserve">Date et heure</w:t>
            </w:r>
            <w:r>
              <w:rPr>
                <w:rFonts w:ascii="Calibri" w:hAnsi="Calibri" w:cs="Arial"/>
                <w:sz w:val="28"/>
                <w:szCs w:val="28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du dépôt du matériel </w:t>
            </w:r>
            <w:r>
              <w:rPr>
                <w:rFonts w:ascii="Calibri" w:hAnsi="Calibri" w:cs="Arial"/>
                <w:sz w:val="24"/>
                <w:szCs w:val="24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</w:tc>
        <w:tc>
          <w:tcPr>
            <w:tcBorders/>
            <w:tcW w:w="5528" w:type="dxa"/>
          </w:tcPr>
          <w:p w14:paraId="5D08843D" w14:textId="77777777">
            <w:pPr>
              <w:pStyle w:val="1172"/>
              <w:pBdr/>
              <w:spacing w:after="120" w:line="276" w:lineRule="auto"/>
              <w:ind/>
              <w:jc w:val="both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  <w:tr>
        <w:trPr>
          <w:trHeight w:val="2443"/>
        </w:trPr>
        <w:tc>
          <w:tcPr>
            <w:tcBorders/>
            <w:tcW w:w="5246" w:type="dxa"/>
          </w:tcPr>
          <w:p w14:paraId="079113C9" w14:textId="77777777">
            <w:pPr>
              <w:pStyle w:val="1172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63B0CA34" w14:textId="77777777">
            <w:pPr>
              <w:pStyle w:val="1172"/>
              <w:pBdr/>
              <w:spacing w:after="120" w:line="276" w:lineRule="auto"/>
              <w:ind w:left="170"/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  <w:r>
              <w:rPr>
                <w:rFonts w:ascii="Calibri" w:hAnsi="Calibri" w:cs="Arial"/>
                <w:b/>
                <w:sz w:val="28"/>
                <w:szCs w:val="28"/>
              </w:rPr>
            </w:r>
          </w:p>
          <w:p w14:paraId="104A11F9" w14:textId="77777777">
            <w:pPr>
              <w:pStyle w:val="1172"/>
              <w:pBdr/>
              <w:spacing w:after="120" w:line="276" w:lineRule="auto"/>
              <w:ind w:left="170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 xml:space="preserve">État du matériel</w:t>
            </w:r>
            <w:r>
              <w:rPr>
                <w:rFonts w:ascii="Calibri" w:hAnsi="Calibri" w:cs="Arial"/>
                <w:sz w:val="28"/>
                <w:szCs w:val="28"/>
              </w:rPr>
              <w:t xml:space="preserve"> (vérification rapide et concertée)</w:t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  <w:tc>
          <w:tcPr>
            <w:tcBorders/>
            <w:tcW w:w="5528" w:type="dxa"/>
          </w:tcPr>
          <w:p w14:paraId="04A03236" w14:textId="77777777">
            <w:pPr>
              <w:pStyle w:val="1172"/>
              <w:pBdr/>
              <w:spacing w:line="276" w:lineRule="auto"/>
              <w:ind/>
              <w:jc w:val="center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  <w:p w14:paraId="10B2F04D" w14:textId="77777777">
            <w:pPr>
              <w:pStyle w:val="1172"/>
              <w:pBdr/>
              <w:spacing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Matériel complet :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  NON</w:t>
            </w:r>
            <w:r>
              <w:rPr>
                <w:rFonts w:ascii="Calibri" w:hAnsi="Calibri" w:cs="Arial"/>
                <w:sz w:val="24"/>
                <w:szCs w:val="24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3BB973AB" w14:textId="77777777">
            <w:pPr>
              <w:pStyle w:val="1172"/>
              <w:pBdr/>
              <w:spacing w:after="120" w:line="480" w:lineRule="auto"/>
              <w:ind w:left="17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Matériel rangé en l’état : 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r>
              <w:rPr>
                <w:rFonts w:ascii="Calibri" w:hAnsi="Calibri" w:cs="Arial"/>
                <w:sz w:val="24"/>
                <w:szCs w:val="24"/>
              </w:rPr>
              <w:t xml:space="preserve"> NON</w:t>
            </w:r>
            <w:r>
              <w:rPr>
                <w:rFonts w:ascii="Calibri" w:hAnsi="Calibri" w:cs="Arial"/>
                <w:sz w:val="24"/>
                <w:szCs w:val="24"/>
              </w:rPr>
            </w:r>
            <w:r>
              <w:rPr>
                <w:rFonts w:ascii="Calibri" w:hAnsi="Calibri" w:cs="Arial"/>
                <w:sz w:val="24"/>
                <w:szCs w:val="24"/>
              </w:rPr>
            </w:r>
          </w:p>
          <w:p w14:paraId="54973BB7" w14:textId="77777777">
            <w:pPr>
              <w:pStyle w:val="1172"/>
              <w:pBdr/>
              <w:spacing w:after="120" w:line="360" w:lineRule="auto"/>
              <w:ind w:left="170"/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sz w:val="28"/>
                <w:szCs w:val="28"/>
              </w:rPr>
              <w:t xml:space="preserve">Recharge(s) effectuée(s) :       </w:t>
            </w:r>
            <w:r>
              <w:rPr>
                <w:rFonts w:ascii="Calibri" w:hAnsi="Calibri" w:cs="Arial"/>
                <w:sz w:val="24"/>
                <w:szCs w:val="24"/>
              </w:rPr>
              <w:t xml:space="preserve">OUI          NON</w:t>
            </w:r>
            <w:r>
              <w:rPr>
                <w:rFonts w:ascii="Calibri" w:hAnsi="Calibri" w:cs="Arial"/>
                <w:sz w:val="28"/>
                <w:szCs w:val="28"/>
              </w:rPr>
            </w:r>
            <w:r>
              <w:rPr>
                <w:rFonts w:ascii="Calibri" w:hAnsi="Calibri" w:cs="Arial"/>
                <w:sz w:val="28"/>
                <w:szCs w:val="28"/>
              </w:rPr>
            </w:r>
          </w:p>
        </w:tc>
      </w:tr>
    </w:tbl>
    <w:p w14:paraId="7381B574" w14:textId="77777777">
      <w:pPr>
        <w:pStyle w:val="1172"/>
        <w:pBdr/>
        <w:spacing w:after="120" w:line="276" w:lineRule="auto"/>
        <w:ind w:right="290"/>
        <w:jc w:val="both"/>
        <w:rPr>
          <w:rFonts w:ascii="Calibri" w:hAnsi="Calibri" w:cs="Arial"/>
          <w:b/>
          <w:i/>
          <w:sz w:val="24"/>
          <w:szCs w:val="24"/>
        </w:rPr>
      </w:pPr>
      <w:r>
        <w:rPr>
          <w:rFonts w:ascii="Calibri" w:hAnsi="Calibri" w:cs="Arial"/>
          <w:b/>
          <w:i/>
          <w:sz w:val="24"/>
          <w:szCs w:val="24"/>
        </w:rPr>
      </w:r>
      <w:r>
        <w:rPr>
          <w:rFonts w:ascii="Calibri" w:hAnsi="Calibri" w:cs="Arial"/>
          <w:b/>
          <w:i/>
          <w:sz w:val="24"/>
          <w:szCs w:val="24"/>
        </w:rPr>
      </w:r>
      <w:r>
        <w:rPr>
          <w:rFonts w:ascii="Calibri" w:hAnsi="Calibri" w:cs="Arial"/>
          <w:b/>
          <w:i/>
          <w:sz w:val="24"/>
          <w:szCs w:val="24"/>
        </w:rPr>
      </w:r>
    </w:p>
    <w:p w14:paraId="521B22F8" w14:textId="77777777">
      <w:pPr>
        <w:pStyle w:val="1172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sz w:val="28"/>
          <w:szCs w:val="28"/>
        </w:rPr>
      </w:pPr>
      <w:r>
        <w:rPr>
          <w:rFonts w:ascii="Calibri" w:hAnsi="Calibri" w:cs="Arial"/>
          <w:b/>
          <w:i/>
          <w:sz w:val="28"/>
          <w:szCs w:val="28"/>
        </w:rPr>
        <w:t xml:space="preserve">Signature : </w:t>
      </w:r>
      <w:r>
        <w:rPr>
          <w:rFonts w:ascii="Calibri" w:hAnsi="Calibri" w:cs="Arial"/>
          <w:b/>
          <w:i/>
          <w:sz w:val="28"/>
          <w:szCs w:val="28"/>
        </w:rPr>
      </w:r>
      <w:r>
        <w:rPr>
          <w:rFonts w:ascii="Calibri" w:hAnsi="Calibri" w:cs="Arial"/>
          <w:b/>
          <w:i/>
          <w:sz w:val="28"/>
          <w:szCs w:val="28"/>
        </w:rPr>
      </w:r>
    </w:p>
    <w:p w14:paraId="7619596F" w14:textId="77777777">
      <w:pPr>
        <w:pStyle w:val="1172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4588F341" w14:textId="77777777">
      <w:pPr>
        <w:pStyle w:val="1172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31E8EF3D" w14:textId="77777777">
      <w:pPr>
        <w:pStyle w:val="1172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i/>
          <w:sz w:val="28"/>
          <w:szCs w:val="28"/>
        </w:rPr>
      </w:pP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  <w:r>
        <w:rPr>
          <w:rFonts w:ascii="Calibri" w:hAnsi="Calibri" w:cs="Arial"/>
          <w:i/>
          <w:sz w:val="28"/>
          <w:szCs w:val="28"/>
        </w:rPr>
      </w:r>
    </w:p>
    <w:p w14:paraId="502EBCD8" w14:textId="77777777">
      <w:pPr>
        <w:pStyle w:val="1172"/>
        <w:pBdr>
          <w:bottom w:val="single" w:color="000000" w:sz="12" w:space="13"/>
        </w:pBdr>
        <w:spacing w:after="120" w:line="276" w:lineRule="auto"/>
        <w:ind w:right="290"/>
        <w:jc w:val="both"/>
        <w:rPr>
          <w:rFonts w:ascii="Calibri" w:hAnsi="Calibri" w:cs="Arial"/>
          <w:b/>
          <w:i/>
          <w:color w:val="ff0000"/>
          <w:sz w:val="28"/>
          <w:szCs w:val="28"/>
        </w:rPr>
      </w:pPr>
      <w:r>
        <w:rPr>
          <w:rFonts w:ascii="Calibri" w:hAnsi="Calibri" w:cs="Arial"/>
          <w:i/>
          <w:color w:val="ff0000"/>
          <w:sz w:val="28"/>
          <w:szCs w:val="28"/>
        </w:rPr>
        <w:t xml:space="preserve">Sous un délai de 72h après restitution du matériel, L’équipe du RECIT peut être amenée à revenir vers vous si un dégât ou perte est </w:t>
      </w:r>
      <w:r>
        <w:rPr>
          <w:rFonts w:ascii="Calibri" w:hAnsi="Calibri" w:cs="Arial"/>
          <w:i/>
          <w:color w:val="ff0000"/>
          <w:sz w:val="28"/>
          <w:szCs w:val="28"/>
        </w:rPr>
        <w:t xml:space="preserve">constaté·e</w:t>
      </w:r>
      <w:r>
        <w:rPr>
          <w:rFonts w:ascii="Calibri" w:hAnsi="Calibri" w:cs="Arial"/>
          <w:i/>
          <w:color w:val="ff0000"/>
          <w:sz w:val="28"/>
          <w:szCs w:val="28"/>
        </w:rPr>
        <w:t xml:space="preserve"> ultérieurement. Un remboursement/remplacement de la pièce / des pièces sera envisagé.</w:t>
      </w:r>
      <w:r>
        <w:rPr>
          <w:rFonts w:ascii="Calibri" w:hAnsi="Calibri" w:cs="Arial"/>
          <w:b/>
          <w:i/>
          <w:color w:val="ff0000"/>
          <w:sz w:val="28"/>
          <w:szCs w:val="28"/>
        </w:rPr>
      </w:r>
      <w:r>
        <w:rPr>
          <w:rFonts w:ascii="Calibri" w:hAnsi="Calibri" w:cs="Arial"/>
          <w:b/>
          <w:i/>
          <w:color w:val="ff0000"/>
          <w:sz w:val="28"/>
          <w:szCs w:val="28"/>
        </w:rPr>
      </w:r>
    </w:p>
    <w:p w14:paraId="65AF7D36" w14:textId="73CF33A4">
      <w:pPr>
        <w:pBdr/>
        <w:spacing w:line="276" w:lineRule="auto"/>
        <w:ind/>
        <w:rPr>
          <w:rFonts w:ascii="Arial" w:hAnsi="Arial" w:cs="Arial"/>
          <w:sz w:val="16"/>
          <w:szCs w:val="16"/>
          <w:highlight w:val="yellow"/>
        </w:rPr>
      </w:pP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  <w:r>
        <w:rPr>
          <w:rFonts w:ascii="Arial" w:hAnsi="Arial" w:cs="Arial"/>
          <w:sz w:val="16"/>
          <w:szCs w:val="16"/>
          <w:highlight w:val="yellow"/>
        </w:rPr>
      </w:r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h="16840" w:orient="portrait" w:w="11900"/>
      <w:pgMar w:top="1417" w:right="1417" w:bottom="1417" w:left="1417" w:header="567" w:footer="85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1CFD863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20FA9F47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panose1 w:val="020B06060303040B0204"/>
  </w:font>
  <w:font w:name="Carlito">
    <w:panose1 w:val="020F0502020204030204"/>
  </w:font>
  <w:font w:name="Walkway Black">
    <w:panose1 w:val="02000503050000020004"/>
  </w:font>
  <w:font w:name="Tahoma">
    <w:panose1 w:val="020B060403050404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Verdana">
    <w:panose1 w:val="020B0604030504040204"/>
  </w:font>
  <w:font w:name="Lucida Grande">
    <w:panose1 w:val="02000503050000020004"/>
  </w:font>
  <w:font w:name="Walkway Bold">
    <w:panose1 w:val="02000503050000020004"/>
  </w:font>
  <w:font w:name="Helvetica">
    <w:panose1 w:val="020B0604020202020204"/>
  </w:font>
  <w:font w:name="Calibri">
    <w:panose1 w:val="020F0502020204030204"/>
  </w:font>
  <w:font w:name="ヒラギノ角ゴ Pro W3">
    <w:panose1 w:val="020005030500000200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AF8EAA" w14:textId="77777777">
    <w:pPr>
      <w:pStyle w:val="1176"/>
      <w:framePr w:hAnchor="margin" w:vAnchor="text" w:wrap="around" w:xAlign="right" w:y="1"/>
      <w:pBdr/>
      <w:spacing/>
      <w:ind/>
      <w:rPr>
        <w:rStyle w:val="1178"/>
        <w:rFonts w:asciiTheme="majorHAnsi" w:hAnsiTheme="majorHAnsi"/>
        <w:sz w:val="20"/>
        <w:szCs w:val="20"/>
      </w:rPr>
    </w:pPr>
    <w:r>
      <w:rPr>
        <w:rStyle w:val="1178"/>
        <w:rFonts w:asciiTheme="majorHAnsi" w:hAnsiTheme="majorHAnsi"/>
        <w:sz w:val="20"/>
        <w:szCs w:val="20"/>
      </w:rPr>
      <w:fldChar w:fldCharType="begin"/>
    </w:r>
    <w:r>
      <w:rPr>
        <w:rStyle w:val="1178"/>
        <w:rFonts w:asciiTheme="majorHAnsi" w:hAnsiTheme="majorHAnsi"/>
        <w:sz w:val="20"/>
        <w:szCs w:val="20"/>
      </w:rPr>
      <w:instrText xml:space="preserve">PAGE  </w:instrText>
    </w:r>
    <w:r>
      <w:rPr>
        <w:rStyle w:val="1178"/>
        <w:rFonts w:asciiTheme="majorHAnsi" w:hAnsiTheme="majorHAnsi"/>
        <w:sz w:val="20"/>
        <w:szCs w:val="20"/>
      </w:rPr>
      <w:fldChar w:fldCharType="separate"/>
    </w:r>
    <w:r>
      <w:rPr>
        <w:rStyle w:val="1178"/>
        <w:rFonts w:asciiTheme="majorHAnsi" w:hAnsiTheme="majorHAnsi"/>
        <w:sz w:val="20"/>
        <w:szCs w:val="20"/>
      </w:rPr>
      <w:t xml:space="preserve">1</w:t>
    </w:r>
    <w:r>
      <w:rPr>
        <w:rStyle w:val="1178"/>
        <w:rFonts w:asciiTheme="majorHAnsi" w:hAnsiTheme="majorHAnsi"/>
        <w:sz w:val="20"/>
        <w:szCs w:val="20"/>
      </w:rPr>
      <w:fldChar w:fldCharType="end"/>
    </w:r>
    <w:r>
      <w:rPr>
        <w:rStyle w:val="1178"/>
        <w:rFonts w:asciiTheme="majorHAnsi" w:hAnsiTheme="majorHAnsi"/>
        <w:sz w:val="20"/>
        <w:szCs w:val="20"/>
      </w:rPr>
    </w:r>
    <w:r>
      <w:rPr>
        <w:rStyle w:val="1178"/>
        <w:rFonts w:asciiTheme="majorHAnsi" w:hAnsiTheme="majorHAnsi"/>
        <w:sz w:val="20"/>
        <w:szCs w:val="20"/>
      </w:rPr>
    </w:r>
  </w:p>
  <w:p w14:paraId="270EDFE1" w14:textId="77777777">
    <w:pPr>
      <w:pStyle w:val="1176"/>
      <w:pBdr/>
      <w:spacing/>
      <w:ind w:right="360"/>
      <w:jc w:val="center"/>
      <w:rPr>
        <w:rFonts w:ascii="Carlito" w:hAnsi="Carlito" w:cs="Carlito"/>
        <w:color w:val="404040" w:themeColor="text1" w:themeTint="BF"/>
        <w:sz w:val="20"/>
        <w:szCs w:val="20"/>
      </w:rPr>
    </w:pPr>
    <w:r>
      <w:rPr>
        <w:rFonts w:ascii="Carlito" w:hAnsi="Carlito" w:eastAsia="Carlito" w:cs="Carlito"/>
        <w:color w:val="404040" w:themeColor="text1" w:themeTint="BF"/>
        <w:sz w:val="20"/>
        <w:szCs w:val="20"/>
      </w:rPr>
      <w:t xml:space="preserve">Convention d’emprunt 2026-2027</w:t>
    </w:r>
    <w:r>
      <w:rPr>
        <w:rFonts w:ascii="Carlito" w:hAnsi="Carlito" w:eastAsia="Carlito" w:cs="Carlito"/>
        <w:color w:val="404040" w:themeColor="text1" w:themeTint="BF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67E5BCA" w14:textId="77777777">
    <w:pPr>
      <w:pStyle w:val="1176"/>
      <w:framePr w:hAnchor="margin" w:vAnchor="text" w:wrap="around" w:xAlign="right" w:y="1"/>
      <w:pBdr/>
      <w:spacing/>
      <w:ind/>
      <w:rPr>
        <w:rStyle w:val="1178"/>
      </w:rPr>
    </w:pPr>
    <w:r>
      <w:rPr>
        <w:rStyle w:val="1178"/>
      </w:rPr>
      <w:fldChar w:fldCharType="begin"/>
    </w:r>
    <w:r>
      <w:rPr>
        <w:rStyle w:val="1178"/>
      </w:rPr>
      <w:instrText xml:space="preserve">PAGE  </w:instrText>
    </w:r>
    <w:r>
      <w:rPr>
        <w:rStyle w:val="1178"/>
      </w:rPr>
      <w:fldChar w:fldCharType="end"/>
    </w:r>
    <w:r>
      <w:rPr>
        <w:rStyle w:val="1178"/>
      </w:rPr>
    </w:r>
    <w:r>
      <w:rPr>
        <w:rStyle w:val="1178"/>
      </w:rPr>
    </w:r>
  </w:p>
  <w:p w14:paraId="48324943" w14:textId="77777777">
    <w:pPr>
      <w:pStyle w:val="1170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 w:right="360"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ORAVEO Sarl au capital de 5 000 € - 524 055 191 RCS Lyon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4C31747E" w14:textId="77777777">
    <w:pPr>
      <w:pStyle w:val="1170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15, rue de BREST – 69002 Lyon – France</w:t>
    </w:r>
    <w:r>
      <w:rPr>
        <w:rFonts w:ascii="Walkway Bold" w:hAnsi="Walkway Bold"/>
        <w:color w:val="a6a6a6"/>
        <w:sz w:val="16"/>
      </w:rPr>
      <w:t xml:space="preserve"> - </w:t>
    </w:r>
    <w:hyperlink r:id="rId1" w:tooltip="mailto:contact@oraveo.com" w:history="1">
      <w:r>
        <w:rPr>
          <w:rStyle w:val="1171"/>
          <w:rFonts w:ascii="Walkway Bold" w:hAnsi="Walkway Bold"/>
          <w:color w:val="a6a6a6"/>
          <w:sz w:val="16"/>
        </w:rPr>
        <w:t xml:space="preserve">contact@oraveo.com</w:t>
      </w:r>
    </w:hyperlink>
    <w:r>
      <w:rPr>
        <w:rFonts w:ascii="Walkway Bold" w:hAnsi="Walkway Bold"/>
        <w:color w:val="a6a6a6"/>
        <w:sz w:val="16"/>
      </w:rPr>
      <w:t xml:space="preserve"> - </w:t>
    </w:r>
    <w:hyperlink r:id="rId2" w:tooltip="http://www.oraveo.com" w:history="1">
      <w:r>
        <w:rPr>
          <w:rStyle w:val="1171"/>
          <w:rFonts w:ascii="Walkway Bold" w:hAnsi="Walkway Bold"/>
          <w:color w:val="a6a6a6"/>
          <w:sz w:val="16"/>
        </w:rPr>
        <w:t xml:space="preserve">www.oraveo.com</w:t>
      </w:r>
    </w:hyperlink>
    <w:r>
      <w:rPr>
        <w:rFonts w:ascii="Walkway Bold" w:hAnsi="Walkway Bold"/>
        <w:color w:val="a6a6a6"/>
        <w:sz w:val="16"/>
      </w:rPr>
      <w:t xml:space="preserve"> 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204EE7DB" w14:textId="77777777">
    <w:pPr>
      <w:pStyle w:val="1170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eastAsia="Times New Roman"/>
        <w:color w:val="auto"/>
      </w:rPr>
    </w:pPr>
    <w:r>
      <w:rPr>
        <w:rFonts w:eastAsia="Times New Roman"/>
        <w:color w:val="auto"/>
      </w:rPr>
    </w:r>
    <w:r>
      <w:rPr>
        <w:rFonts w:eastAsia="Times New Roman"/>
        <w:color w:val="auto"/>
      </w:rPr>
    </w:r>
    <w:r>
      <w:rPr>
        <w:rFonts w:eastAsia="Times New Roman"/>
        <w:color w:val="auto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5BD9501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7D7B1E29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67AF390" w14:textId="685AF4ED">
    <w:pPr>
      <w:pStyle w:val="1179"/>
      <w:pBdr/>
      <w:tabs>
        <w:tab w:val="left" w:leader="none" w:pos="432"/>
        <w:tab w:val="right" w:leader="none" w:pos="9066"/>
        <w:tab w:val="clear" w:leader="none" w:pos="9072"/>
      </w:tabs>
      <w:spacing/>
      <w:ind/>
      <w:rPr/>
    </w:pPr>
    <w:r>
      <w:rPr>
        <w:lang w:eastAsia="fr-F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1138555" cy="583359"/>
              <wp:effectExtent l="0" t="0" r="4445" b="1270"/>
              <wp:docPr id="1" name="Image 2" descr="Macintosh HD:Users:preafca-pi:Desktop:ALSACE CINEMAS:LOGOS POLE PI ET STRUCTURES PARTENAIRES:LE RÉCIT 2018:Logo baseline JPEG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Macintosh HD:Users:preafca-pi:Desktop:ALSACE CINEMAS:LOGOS POLE PI ET STRUCTURES PARTENAIRES:LE RÉCIT 2018:Logo baseline JPEG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139753" cy="583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89.65pt;height:45.93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tab/>
    </w:r>
    <w:r>
      <w:tab/>
    </w:r>
    <w:r>
      <w:tab/>
    </w:r>
    <w:r/>
  </w:p>
  <w:p w14:paraId="467280FC" w14:textId="47E657C7">
    <w:pPr>
      <w:pStyle w:val="117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100" w:type="dxa"/>
      <w:tblW w:w="0" w:type="auto"/>
      <w:tblBorders/>
      <w:tblLayout w:type="fixed"/>
      <w:tblLook w:val="0000" w:firstRow="0" w:lastRow="0" w:firstColumn="0" w:lastColumn="0" w:noHBand="0" w:noVBand="0"/>
    </w:tblPr>
    <w:tblGrid>
      <w:gridCol w:w="1604"/>
      <w:gridCol w:w="1526"/>
      <w:gridCol w:w="1457"/>
      <w:gridCol w:w="801"/>
      <w:gridCol w:w="1029"/>
      <w:gridCol w:w="1645"/>
      <w:gridCol w:w="1025"/>
      <w:gridCol w:w="539"/>
    </w:tblGrid>
    <w:tr>
      <w:trPr>
        <w:cantSplit/>
        <w:trHeight w:val="6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7EBF692E" w14:textId="77777777">
          <w:pPr>
            <w:pStyle w:val="1169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end"/>
          </w:r>
          <w:r>
            <w:fldChar w:fldCharType="end"/>
          </w:r>
          <w:r/>
        </w:p>
      </w:tc>
      <w:tc>
        <w:tcPr>
          <w:gridSpan w:val="6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6496" w:type="dxa"/>
          <w:vAlign w:val="center"/>
        </w:tcPr>
        <w:p w14:paraId="1032FF34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708"/>
              <w:tab w:val="left" w:leader="none" w:pos="1416"/>
              <w:tab w:val="left" w:leader="none" w:pos="2124"/>
              <w:tab w:val="left" w:leader="none" w:pos="2832"/>
              <w:tab w:val="left" w:leader="none" w:pos="3540"/>
              <w:tab w:val="left" w:leader="none" w:pos="4248"/>
              <w:tab w:val="left" w:leader="none" w:pos="4956"/>
              <w:tab w:val="left" w:leader="none" w:pos="5664"/>
              <w:tab w:val="left" w:leader="none" w:pos="6372"/>
              <w:tab w:val="left" w:leader="none" w:pos="7080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pacing w:val="28"/>
              <w:sz w:val="28"/>
              <w:szCs w:val="22"/>
            </w:rPr>
          </w:pPr>
          <w:r>
            <w:rPr>
              <w:rFonts w:ascii="Walkway Black" w:hAnsi="Walkway Black"/>
              <w:spacing w:val="28"/>
              <w:sz w:val="28"/>
              <w:szCs w:val="22"/>
            </w:rPr>
            <w:t xml:space="preserve">Document de travail - associatheque.fr</w:t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</w:p>
        <w:p w14:paraId="0F751A2D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-19516"/>
              <w:tab w:val="left" w:leader="none" w:pos="-18808"/>
              <w:tab w:val="left" w:leader="none" w:pos="-18100"/>
              <w:tab w:val="left" w:leader="none" w:pos="-17392"/>
              <w:tab w:val="left" w:leader="none" w:pos="-16684"/>
              <w:tab w:val="left" w:leader="none" w:pos="-15976"/>
              <w:tab w:val="left" w:leader="none" w:pos="-15268"/>
              <w:tab w:val="left" w:leader="none" w:pos="-14560"/>
              <w:tab w:val="left" w:leader="none" w:pos="-13852"/>
              <w:tab w:val="left" w:leader="none" w:pos="7655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pacing w:val="28"/>
              <w:sz w:val="28"/>
              <w:szCs w:val="22"/>
            </w:rPr>
          </w:pPr>
          <w:r>
            <w:rPr>
              <w:rFonts w:ascii="Walkway Bold" w:hAnsi="Walkway Bold"/>
              <w:spacing w:val="28"/>
              <w:sz w:val="28"/>
              <w:szCs w:val="22"/>
            </w:rPr>
            <w:t xml:space="preserve">Convention de mécénat type</w:t>
          </w:r>
          <w:r>
            <w:rPr>
              <w:rFonts w:ascii="Walkway Bold" w:hAnsi="Walkway Bold"/>
              <w:spacing w:val="28"/>
              <w:sz w:val="28"/>
              <w:szCs w:val="22"/>
            </w:rPr>
          </w:r>
          <w:r>
            <w:rPr>
              <w:rFonts w:ascii="Walkway Bold" w:hAnsi="Walkway Bold"/>
              <w:spacing w:val="28"/>
              <w:sz w:val="28"/>
              <w:szCs w:val="22"/>
            </w:rPr>
          </w:r>
        </w:p>
      </w:tc>
    </w:tr>
    <w:tr>
      <w:trPr>
        <w:cantSplit/>
        <w:trHeight w:val="220"/>
      </w:trPr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04" w:type="dxa"/>
        </w:tcPr>
        <w:p w14:paraId="5328702D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Date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25" w:type="dxa"/>
          <w:vAlign w:val="center"/>
        </w:tcPr>
        <w:p w14:paraId="51643EF8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16/08/10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457" w:type="dxa"/>
        </w:tcPr>
        <w:p w14:paraId="0DD09B05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Niv</w:t>
          </w:r>
          <w:r>
            <w:rPr>
              <w:rFonts w:ascii="Walkway Black" w:hAnsi="Walkway Black"/>
              <w:sz w:val="20"/>
            </w:rPr>
            <w:t xml:space="preserve">. Diffusion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800" w:type="dxa"/>
          <w:vAlign w:val="center"/>
        </w:tcPr>
        <w:p w14:paraId="16D7CA03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9" w:type="dxa"/>
          <w:vAlign w:val="center"/>
        </w:tcPr>
        <w:p w14:paraId="6F6D9B98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</w:tabs>
            <w:spacing/>
            <w:ind/>
            <w:jc w:val="center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Réf. :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45" w:type="dxa"/>
          <w:vAlign w:val="center"/>
        </w:tcPr>
        <w:p w14:paraId="5AF7137F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z w:val="18"/>
            </w:rPr>
          </w:pPr>
          <w:r>
            <w:rPr>
              <w:rFonts w:ascii="Walkway Bold" w:hAnsi="Walkway Bold"/>
              <w:sz w:val="18"/>
            </w:rPr>
            <w:t xml:space="preserve">100809-1</w:t>
          </w:r>
          <w:r>
            <w:rPr>
              <w:rFonts w:ascii="Walkway Bold" w:hAnsi="Walkway Bold"/>
              <w:sz w:val="18"/>
            </w:rPr>
          </w:r>
          <w:r>
            <w:rPr>
              <w:rFonts w:ascii="Walkway Bold" w:hAnsi="Walkway Bold"/>
              <w:sz w:val="18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5" w:type="dxa"/>
        </w:tcPr>
        <w:p w14:paraId="53B3E3F3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</w:tabs>
            <w:spacing/>
            <w:ind/>
            <w:jc w:val="right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Version 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538" w:type="dxa"/>
          <w:vAlign w:val="center"/>
        </w:tcPr>
        <w:p w14:paraId="373CC1F0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</w:tabs>
            <w:spacing/>
            <w:ind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1.0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</w:tr>
    <w:tr>
      <w:trPr>
        <w:cantSplit/>
        <w:trHeight w:val="2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6F12417A" w14:textId="77777777">
          <w:pPr>
            <w:pStyle w:val="1169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Emplacement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258" w:type="dxa"/>
        </w:tcPr>
        <w:p w14:paraId="2A66D5A4" w14:textId="77777777">
          <w:pPr>
            <w:pStyle w:val="1169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/>
          <w:r/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674" w:type="dxa"/>
          <w:vAlign w:val="center"/>
        </w:tcPr>
        <w:p w14:paraId="461EB2D8" w14:textId="77777777">
          <w:pPr>
            <w:pStyle w:val="1169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Nom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63" w:type="dxa"/>
        </w:tcPr>
        <w:p w14:paraId="22BFE023" w14:textId="77777777">
          <w:pPr>
            <w:pStyle w:val="1169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</w:tabs>
            <w:spacing/>
            <w:ind/>
            <w:jc w:val="right"/>
            <w:rPr/>
          </w:pPr>
          <w:r/>
          <w:r/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0" w:left="560"/>
      </w:pPr>
      <w:rPr>
        <w:rFonts w:hint="default"/>
        <w:position w:val="-2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360" w:left="560"/>
      </w:pPr>
      <w:rPr>
        <w:rFonts w:hint="default"/>
        <w:position w:val="-2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720" w:left="560"/>
      </w:pPr>
      <w:rPr>
        <w:rFonts w:hint="default"/>
        <w:position w:val="-2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080" w:left="560"/>
      </w:pPr>
      <w:rPr>
        <w:rFonts w:hint="default"/>
        <w:position w:val="-2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440" w:left="560"/>
      </w:pPr>
      <w:rPr>
        <w:rFonts w:hint="default"/>
        <w:position w:val="-2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800" w:left="560"/>
      </w:pPr>
      <w:rPr>
        <w:rFonts w:hint="default"/>
        <w:position w:val="-2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160" w:left="560"/>
      </w:pPr>
      <w:rPr>
        <w:rFonts w:hint="default"/>
        <w:position w:val="-2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520" w:left="560"/>
      </w:pPr>
      <w:rPr>
        <w:rFonts w:hint="default"/>
        <w:position w:val="-2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880" w:left="560"/>
      </w:pPr>
      <w:rPr>
        <w:rFonts w:hint="default"/>
        <w:position w:val="-2"/>
      </w:rPr>
      <w:start w:val="1"/>
      <w:suff w:val="tab"/>
    </w:lvl>
  </w:abstractNum>
  <w:abstractNum w:abstractNumId="1">
    <w:nsid w:val="00000002"/>
    <w:lvl w:ilvl="0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0" w:left="560"/>
      </w:pPr>
      <w:rPr>
        <w:rFonts w:hint="default"/>
        <w:position w:val="-2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360" w:left="560"/>
      </w:pPr>
      <w:rPr>
        <w:rFonts w:hint="default"/>
        <w:position w:val="-2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720" w:left="560"/>
      </w:pPr>
      <w:rPr>
        <w:rFonts w:hint="default"/>
        <w:position w:val="-2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080" w:left="560"/>
      </w:pPr>
      <w:rPr>
        <w:rFonts w:hint="default"/>
        <w:position w:val="-2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440" w:left="560"/>
      </w:pPr>
      <w:rPr>
        <w:rFonts w:hint="default"/>
        <w:position w:val="-2"/>
      </w:rPr>
      <w:start w:val="1"/>
      <w:suff w:val="tab"/>
    </w:lvl>
    <w:lvl w:ilvl="5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1800" w:left="560"/>
      </w:pPr>
      <w:rPr>
        <w:rFonts w:hint="default"/>
        <w:position w:val="-2"/>
      </w:rPr>
      <w:start w:val="1"/>
      <w:suff w:val="tab"/>
    </w:lvl>
    <w:lvl w:ilvl="6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160" w:left="560"/>
      </w:pPr>
      <w:rPr>
        <w:rFonts w:hint="default"/>
        <w:position w:val="-2"/>
      </w:rPr>
      <w:start w:val="1"/>
      <w:suff w:val="tab"/>
    </w:lvl>
    <w:lvl w:ilvl="7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520" w:left="560"/>
      </w:pPr>
      <w:rPr>
        <w:rFonts w:hint="default"/>
        <w:position w:val="-2"/>
      </w:rPr>
      <w:start w:val="1"/>
      <w:suff w:val="tab"/>
    </w:lvl>
    <w:lvl w:ilvl="8">
      <w:isLgl w:val="false"/>
      <w:lvlJc w:val="left"/>
      <w:lvlText w:val="•"/>
      <w:numFmt w:val="bullet"/>
      <w:pPr>
        <w:pBdr/>
        <w:tabs>
          <w:tab w:val="num" w:leader="none" w:pos="560"/>
        </w:tabs>
        <w:spacing/>
        <w:ind w:firstLine="2880" w:left="560"/>
      </w:pPr>
      <w:rPr>
        <w:rFonts w:hint="default"/>
        <w:position w:val="-2"/>
      </w:rPr>
      <w:start w:val="1"/>
      <w:suff w:val="tab"/>
    </w:lvl>
  </w:abstractNum>
  <w:abstractNum w:abstractNumId="2">
    <w:nsid w:val="00000003"/>
    <w:lvl w:ilvl="0">
      <w:isLgl w:val="false"/>
      <w:lvlJc w:val="left"/>
      <w:lvlText w:val="•"/>
      <w:numFmt w:val="bullet"/>
      <w:pPr>
        <w:pBdr/>
        <w:spacing/>
        <w:ind w:firstLine="0" w:left="0"/>
      </w:pPr>
      <w:rPr>
        <w:rFonts w:hint="default"/>
        <w:position w:val="0"/>
      </w:rPr>
      <w:start w:val="0"/>
      <w:suff w:val="nothing"/>
    </w:lvl>
    <w:lvl w:ilvl="1">
      <w:isLgl w:val="false"/>
      <w:lvlJc w:val="left"/>
      <w:lvlText w:val=""/>
      <w:numFmt w:val="bullet"/>
      <w:pPr>
        <w:pBdr/>
        <w:tabs>
          <w:tab w:val="num" w:leader="none" w:pos="720"/>
        </w:tabs>
        <w:spacing/>
        <w:ind w:firstLine="0" w:left="720"/>
      </w:pPr>
      <w:rPr>
        <w:rFonts w:hint="default"/>
        <w:position w:val="0"/>
      </w:rPr>
      <w:start w:val="1"/>
      <w:suff w:val="tab"/>
    </w:lvl>
    <w:lvl w:ilvl="2">
      <w:isLgl w:val="false"/>
      <w:lvlJc w:val="left"/>
      <w:lvlText w:val=""/>
      <w:numFmt w:val="bullet"/>
      <w:pPr>
        <w:pBdr/>
        <w:tabs>
          <w:tab w:val="num" w:leader="none" w:pos="1440"/>
        </w:tabs>
        <w:spacing/>
        <w:ind w:firstLine="0" w:left="1440"/>
      </w:pPr>
      <w:rPr>
        <w:rFonts w:hint="default"/>
        <w:position w:val="0"/>
      </w:rPr>
      <w:start w:val="1"/>
      <w:suff w:val="tab"/>
    </w:lvl>
    <w:lvl w:ilvl="3">
      <w:isLgl w:val="false"/>
      <w:lvlJc w:val="left"/>
      <w:lvlText w:val=""/>
      <w:numFmt w:val="bullet"/>
      <w:pPr>
        <w:pBdr/>
        <w:tabs>
          <w:tab w:val="num" w:leader="none" w:pos="2160"/>
        </w:tabs>
        <w:spacing/>
        <w:ind w:firstLine="0" w:left="2160"/>
      </w:pPr>
      <w:rPr>
        <w:rFonts w:hint="default"/>
        <w:position w:val="0"/>
      </w:rPr>
      <w:start w:val="1"/>
      <w:suff w:val="tab"/>
    </w:lvl>
    <w:lvl w:ilvl="4">
      <w:isLgl w:val="false"/>
      <w:lvlJc w:val="left"/>
      <w:lvlText w:val=""/>
      <w:numFmt w:val="bullet"/>
      <w:pPr>
        <w:pBdr/>
        <w:tabs>
          <w:tab w:val="num" w:leader="none" w:pos="2880"/>
        </w:tabs>
        <w:spacing/>
        <w:ind w:firstLine="0" w:left="2880"/>
      </w:pPr>
      <w:rPr>
        <w:rFonts w:hint="default"/>
        <w:position w:val="0"/>
      </w:rPr>
      <w:start w:val="1"/>
      <w:suff w:val="tab"/>
    </w:lvl>
    <w:lvl w:ilvl="5">
      <w:isLgl w:val="false"/>
      <w:lvlJc w:val="left"/>
      <w:lvlText w:val=""/>
      <w:numFmt w:val="bullet"/>
      <w:pPr>
        <w:pBdr/>
        <w:tabs>
          <w:tab w:val="num" w:leader="none" w:pos="3600"/>
        </w:tabs>
        <w:spacing/>
        <w:ind w:firstLine="0" w:left="3600"/>
      </w:pPr>
      <w:rPr>
        <w:rFonts w:hint="default"/>
        <w:position w:val="0"/>
      </w:rPr>
      <w:start w:val="1"/>
      <w:suff w:val="tab"/>
    </w:lvl>
    <w:lvl w:ilvl="6">
      <w:isLgl w:val="false"/>
      <w:lvlJc w:val="left"/>
      <w:lvlText w:val=""/>
      <w:numFmt w:val="bullet"/>
      <w:pPr>
        <w:pBdr/>
        <w:tabs>
          <w:tab w:val="num" w:leader="none" w:pos="4320"/>
        </w:tabs>
        <w:spacing/>
        <w:ind w:firstLine="0" w:left="4320"/>
      </w:pPr>
      <w:rPr>
        <w:rFonts w:hint="default"/>
        <w:position w:val="0"/>
      </w:rPr>
      <w:start w:val="1"/>
      <w:suff w:val="tab"/>
    </w:lvl>
    <w:lvl w:ilvl="7">
      <w:isLgl w:val="false"/>
      <w:lvlJc w:val="left"/>
      <w:lvlText w:val=""/>
      <w:numFmt w:val="bullet"/>
      <w:pPr>
        <w:pBdr/>
        <w:tabs>
          <w:tab w:val="num" w:leader="none" w:pos="5040"/>
        </w:tabs>
        <w:spacing/>
        <w:ind w:firstLine="0" w:left="5040"/>
      </w:pPr>
      <w:rPr>
        <w:rFonts w:hint="default"/>
        <w:position w:val="0"/>
      </w:rPr>
      <w:start w:val="1"/>
      <w:suff w:val="tab"/>
    </w:lvl>
    <w:lvl w:ilvl="8">
      <w:isLgl w:val="false"/>
      <w:lvlJc w:val="left"/>
      <w:lvlText w:val=""/>
      <w:numFmt w:val="bullet"/>
      <w:pPr>
        <w:pBdr/>
        <w:tabs>
          <w:tab w:val="num" w:leader="none" w:pos="5760"/>
        </w:tabs>
        <w:spacing/>
        <w:ind w:firstLine="0" w:left="5760"/>
      </w:pPr>
      <w:rPr>
        <w:rFonts w:hint="default"/>
        <w:position w:val="0"/>
      </w:rPr>
      <w:start w:val="1"/>
      <w:suff w:val="tab"/>
    </w:lvl>
  </w:abstractNum>
  <w:abstractNum w:abstractNumId="3">
    <w:nsid w:val="00000004"/>
    <w:lvl w:ilvl="0">
      <w:isLgl w:val="false"/>
      <w:lvlJc w:val="left"/>
      <w:lvlText w:val="⁃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4">
    <w:nsid w:val="00000005"/>
    <w:lvl w:ilvl="0">
      <w:isLgl w:val="false"/>
      <w:lvlJc w:val="left"/>
      <w:lvlText w:val="⁃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5">
    <w:nsid w:val="050B2947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erdana" w:hAnsi="Verdana" w:eastAsia="ヒラギノ角ゴ Pro W3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135A1D2F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7">
    <w:nsid w:val="3539024F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77A689D"/>
    <w:lvl w:ilvl="0">
      <w:isLgl w:val="false"/>
      <w:lvlJc w:val="left"/>
      <w:lvlText w:val=""/>
      <w:numFmt w:val="bullet"/>
      <w:pPr>
        <w:pBdr/>
        <w:spacing/>
        <w:ind w:hanging="360" w:left="720"/>
      </w:pPr>
      <w:rPr>
        <w:rFonts w:hint="default" w:ascii="Tahoma" w:hAnsi="Tahoma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4D84079B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ヒラギノ角ゴ Pro W3" w:cs="Times New Roman"/>
      </w:rPr>
      <w:start w:val="7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76DC3842"/>
    <w:lvl w:ilvl="0">
      <w:isLgl w:val="false"/>
      <w:lvlJc w:val="left"/>
      <w:lvlText w:val=""/>
      <w:numFmt w:val="bullet"/>
      <w:pPr>
        <w:pBdr/>
        <w:spacing/>
        <w:ind w:hanging="360" w:left="720"/>
      </w:pPr>
      <w:rPr>
        <w:rFonts w:hint="default" w:ascii="Tahoma" w:hAnsi="Tahoma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85">
    <w:name w:val="Table Grid Light"/>
    <w:basedOn w:val="11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Plain Table 1"/>
    <w:basedOn w:val="11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Plain Table 2"/>
    <w:basedOn w:val="11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Plain Table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Grid Table 1 Light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1 Light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1 Light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1 Light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1 Light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2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2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2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3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3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4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4 - Accent 1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4 - Accent 2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 - Accent 3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- Accent 4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4 - Accent 5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 - Accent 6"/>
    <w:basedOn w:val="11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5 Dark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5 Dark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5 Dark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5 Dark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5 Dark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5 Dark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5 Dark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6 Colorful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6 Colorful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6 Colorful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6 Colorful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6 Colorful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6 Colorful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6 Colorful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7 Colorful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7 Colorful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7 Colorful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7 Colorful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7 Colorful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7 Colorful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7 Colorful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1 Light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1 Light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1 Light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1 Light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2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2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2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3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3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3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4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4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4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5 Dark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5 Dark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5 Dark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6 Colorful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6 Colorful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6 Colorful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6 Colorful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6 Colorful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6 Colorful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6 Colorful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7 Colorful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7 Colorful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7 Colorful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7 Colorful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7 Colorful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7 Colorful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7 Colorful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ned - Accent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ned - Accent 1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ned - Accent 2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ned - Accent 3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ned - Accent 4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ned - Accent 5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Lined - Accent 6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Bordered &amp; Lined - Accent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Bordered &amp; Lined - Accent 1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Bordered &amp; Lined - Accent 2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Bordered &amp; Lined - Accent 3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Bordered &amp; Lined - Accent 4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Bordered &amp; Lined - Accent 5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Bordered &amp; Lined - Accent 6"/>
    <w:basedOn w:val="11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Bordered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Bordered - Accent 1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Bordered - Accent 2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Bordered - Accent 3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Bordered - Accent 4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Bordered - Accent 5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>
    <w:name w:val="Bordered - Accent 6"/>
    <w:basedOn w:val="11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0">
    <w:name w:val="Heading 1"/>
    <w:basedOn w:val="1165"/>
    <w:next w:val="1165"/>
    <w:link w:val="111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111">
    <w:name w:val="Heading 2"/>
    <w:basedOn w:val="1165"/>
    <w:next w:val="1165"/>
    <w:link w:val="112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112">
    <w:name w:val="Heading 3"/>
    <w:basedOn w:val="1165"/>
    <w:next w:val="1165"/>
    <w:link w:val="112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113">
    <w:name w:val="Heading 4"/>
    <w:basedOn w:val="1165"/>
    <w:next w:val="1165"/>
    <w:link w:val="112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114">
    <w:name w:val="Heading 5"/>
    <w:basedOn w:val="1165"/>
    <w:next w:val="1165"/>
    <w:link w:val="112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115">
    <w:name w:val="Heading 6"/>
    <w:basedOn w:val="1165"/>
    <w:next w:val="1165"/>
    <w:link w:val="112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116">
    <w:name w:val="Heading 7"/>
    <w:basedOn w:val="1165"/>
    <w:next w:val="1165"/>
    <w:link w:val="112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117">
    <w:name w:val="Heading 8"/>
    <w:basedOn w:val="1165"/>
    <w:next w:val="1165"/>
    <w:link w:val="112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18">
    <w:name w:val="Heading 9"/>
    <w:basedOn w:val="1165"/>
    <w:next w:val="1165"/>
    <w:link w:val="112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19">
    <w:name w:val="Heading 1 Char"/>
    <w:basedOn w:val="1166"/>
    <w:link w:val="11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20">
    <w:name w:val="Heading 2 Char"/>
    <w:basedOn w:val="1166"/>
    <w:link w:val="11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21">
    <w:name w:val="Heading 3 Char"/>
    <w:basedOn w:val="1166"/>
    <w:link w:val="11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22">
    <w:name w:val="Heading 4 Char"/>
    <w:basedOn w:val="1166"/>
    <w:link w:val="111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23">
    <w:name w:val="Heading 5 Char"/>
    <w:basedOn w:val="1166"/>
    <w:link w:val="111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24">
    <w:name w:val="Heading 6 Char"/>
    <w:basedOn w:val="1166"/>
    <w:link w:val="111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25">
    <w:name w:val="Heading 7 Char"/>
    <w:basedOn w:val="1166"/>
    <w:link w:val="111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26">
    <w:name w:val="Heading 8 Char"/>
    <w:basedOn w:val="1166"/>
    <w:link w:val="111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27">
    <w:name w:val="Heading 9 Char"/>
    <w:basedOn w:val="1166"/>
    <w:link w:val="111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28">
    <w:name w:val="Title"/>
    <w:basedOn w:val="1165"/>
    <w:next w:val="1165"/>
    <w:link w:val="112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29">
    <w:name w:val="Title Char"/>
    <w:basedOn w:val="1166"/>
    <w:link w:val="112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30">
    <w:name w:val="Subtitle"/>
    <w:basedOn w:val="1165"/>
    <w:next w:val="1165"/>
    <w:link w:val="113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31">
    <w:name w:val="Subtitle Char"/>
    <w:basedOn w:val="1166"/>
    <w:link w:val="113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32">
    <w:name w:val="Quote"/>
    <w:basedOn w:val="1165"/>
    <w:next w:val="1165"/>
    <w:link w:val="113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33">
    <w:name w:val="Quote Char"/>
    <w:basedOn w:val="1166"/>
    <w:link w:val="113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34">
    <w:name w:val="Intense Emphasis"/>
    <w:basedOn w:val="11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35">
    <w:name w:val="Intense Quote"/>
    <w:basedOn w:val="1165"/>
    <w:next w:val="1165"/>
    <w:link w:val="113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36">
    <w:name w:val="Intense Quote Char"/>
    <w:basedOn w:val="1166"/>
    <w:link w:val="113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37">
    <w:name w:val="Intense Reference"/>
    <w:basedOn w:val="11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138">
    <w:name w:val="No Spacing"/>
    <w:basedOn w:val="1165"/>
    <w:uiPriority w:val="1"/>
    <w:qFormat/>
    <w:pPr>
      <w:pBdr/>
      <w:spacing w:after="0" w:line="240" w:lineRule="auto"/>
      <w:ind/>
    </w:pPr>
  </w:style>
  <w:style w:type="character" w:styleId="1139">
    <w:name w:val="Subtle Emphasis"/>
    <w:basedOn w:val="11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40">
    <w:name w:val="Emphasis"/>
    <w:basedOn w:val="1166"/>
    <w:uiPriority w:val="20"/>
    <w:qFormat/>
    <w:pPr>
      <w:pBdr/>
      <w:spacing/>
      <w:ind/>
    </w:pPr>
    <w:rPr>
      <w:i/>
      <w:iCs/>
    </w:rPr>
  </w:style>
  <w:style w:type="character" w:styleId="1141">
    <w:name w:val="Strong"/>
    <w:basedOn w:val="1166"/>
    <w:uiPriority w:val="22"/>
    <w:qFormat/>
    <w:pPr>
      <w:pBdr/>
      <w:spacing/>
      <w:ind/>
    </w:pPr>
    <w:rPr>
      <w:b/>
      <w:bCs/>
    </w:rPr>
  </w:style>
  <w:style w:type="character" w:styleId="1142">
    <w:name w:val="Subtle Reference"/>
    <w:basedOn w:val="11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43">
    <w:name w:val="Book Title"/>
    <w:basedOn w:val="116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44">
    <w:name w:val="Header Char"/>
    <w:basedOn w:val="1166"/>
    <w:link w:val="1179"/>
    <w:uiPriority w:val="99"/>
    <w:pPr>
      <w:pBdr/>
      <w:spacing/>
      <w:ind/>
    </w:pPr>
  </w:style>
  <w:style w:type="character" w:styleId="1145">
    <w:name w:val="Footer Char"/>
    <w:basedOn w:val="1166"/>
    <w:link w:val="1176"/>
    <w:uiPriority w:val="99"/>
    <w:pPr>
      <w:pBdr/>
      <w:spacing/>
      <w:ind/>
    </w:pPr>
  </w:style>
  <w:style w:type="paragraph" w:styleId="1146">
    <w:name w:val="footnote text"/>
    <w:basedOn w:val="1165"/>
    <w:link w:val="114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47">
    <w:name w:val="Footnote Text Char"/>
    <w:basedOn w:val="1166"/>
    <w:link w:val="1146"/>
    <w:uiPriority w:val="99"/>
    <w:semiHidden/>
    <w:pPr>
      <w:pBdr/>
      <w:spacing/>
      <w:ind/>
    </w:pPr>
    <w:rPr>
      <w:sz w:val="20"/>
      <w:szCs w:val="20"/>
    </w:rPr>
  </w:style>
  <w:style w:type="character" w:styleId="1148">
    <w:name w:val="footnote reference"/>
    <w:basedOn w:val="1166"/>
    <w:uiPriority w:val="99"/>
    <w:semiHidden/>
    <w:unhideWhenUsed/>
    <w:pPr>
      <w:pBdr/>
      <w:spacing/>
      <w:ind/>
    </w:pPr>
    <w:rPr>
      <w:vertAlign w:val="superscript"/>
    </w:rPr>
  </w:style>
  <w:style w:type="paragraph" w:styleId="1149">
    <w:name w:val="endnote text"/>
    <w:basedOn w:val="1165"/>
    <w:link w:val="115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0">
    <w:name w:val="Endnote Text Char"/>
    <w:basedOn w:val="1166"/>
    <w:link w:val="1149"/>
    <w:uiPriority w:val="99"/>
    <w:semiHidden/>
    <w:pPr>
      <w:pBdr/>
      <w:spacing/>
      <w:ind/>
    </w:pPr>
    <w:rPr>
      <w:sz w:val="20"/>
      <w:szCs w:val="20"/>
    </w:rPr>
  </w:style>
  <w:style w:type="character" w:styleId="1151">
    <w:name w:val="endnote reference"/>
    <w:basedOn w:val="1166"/>
    <w:uiPriority w:val="99"/>
    <w:semiHidden/>
    <w:unhideWhenUsed/>
    <w:pPr>
      <w:pBdr/>
      <w:spacing/>
      <w:ind/>
    </w:pPr>
    <w:rPr>
      <w:vertAlign w:val="superscript"/>
    </w:rPr>
  </w:style>
  <w:style w:type="character" w:styleId="1152">
    <w:name w:val="FollowedHyperlink"/>
    <w:basedOn w:val="11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53">
    <w:name w:val="toc 1"/>
    <w:basedOn w:val="1165"/>
    <w:next w:val="1165"/>
    <w:uiPriority w:val="39"/>
    <w:unhideWhenUsed/>
    <w:pPr>
      <w:pBdr/>
      <w:spacing w:after="100"/>
      <w:ind/>
    </w:pPr>
  </w:style>
  <w:style w:type="paragraph" w:styleId="1154">
    <w:name w:val="toc 2"/>
    <w:basedOn w:val="1165"/>
    <w:next w:val="1165"/>
    <w:uiPriority w:val="39"/>
    <w:unhideWhenUsed/>
    <w:pPr>
      <w:pBdr/>
      <w:spacing w:after="100"/>
      <w:ind w:left="220"/>
    </w:pPr>
  </w:style>
  <w:style w:type="paragraph" w:styleId="1155">
    <w:name w:val="toc 3"/>
    <w:basedOn w:val="1165"/>
    <w:next w:val="1165"/>
    <w:uiPriority w:val="39"/>
    <w:unhideWhenUsed/>
    <w:pPr>
      <w:pBdr/>
      <w:spacing w:after="100"/>
      <w:ind w:left="440"/>
    </w:pPr>
  </w:style>
  <w:style w:type="paragraph" w:styleId="1156">
    <w:name w:val="toc 4"/>
    <w:basedOn w:val="1165"/>
    <w:next w:val="1165"/>
    <w:uiPriority w:val="39"/>
    <w:unhideWhenUsed/>
    <w:pPr>
      <w:pBdr/>
      <w:spacing w:after="100"/>
      <w:ind w:left="660"/>
    </w:pPr>
  </w:style>
  <w:style w:type="paragraph" w:styleId="1157">
    <w:name w:val="toc 5"/>
    <w:basedOn w:val="1165"/>
    <w:next w:val="1165"/>
    <w:uiPriority w:val="39"/>
    <w:unhideWhenUsed/>
    <w:pPr>
      <w:pBdr/>
      <w:spacing w:after="100"/>
      <w:ind w:left="880"/>
    </w:pPr>
  </w:style>
  <w:style w:type="paragraph" w:styleId="1158">
    <w:name w:val="toc 6"/>
    <w:basedOn w:val="1165"/>
    <w:next w:val="1165"/>
    <w:uiPriority w:val="39"/>
    <w:unhideWhenUsed/>
    <w:pPr>
      <w:pBdr/>
      <w:spacing w:after="100"/>
      <w:ind w:left="1100"/>
    </w:pPr>
  </w:style>
  <w:style w:type="paragraph" w:styleId="1159">
    <w:name w:val="toc 7"/>
    <w:basedOn w:val="1165"/>
    <w:next w:val="1165"/>
    <w:uiPriority w:val="39"/>
    <w:unhideWhenUsed/>
    <w:pPr>
      <w:pBdr/>
      <w:spacing w:after="100"/>
      <w:ind w:left="1320"/>
    </w:pPr>
  </w:style>
  <w:style w:type="paragraph" w:styleId="1160">
    <w:name w:val="toc 8"/>
    <w:basedOn w:val="1165"/>
    <w:next w:val="1165"/>
    <w:uiPriority w:val="39"/>
    <w:unhideWhenUsed/>
    <w:pPr>
      <w:pBdr/>
      <w:spacing w:after="100"/>
      <w:ind w:left="1540"/>
    </w:pPr>
  </w:style>
  <w:style w:type="paragraph" w:styleId="1161">
    <w:name w:val="toc 9"/>
    <w:basedOn w:val="1165"/>
    <w:next w:val="1165"/>
    <w:uiPriority w:val="39"/>
    <w:unhideWhenUsed/>
    <w:pPr>
      <w:pBdr/>
      <w:spacing w:after="100"/>
      <w:ind w:left="1760"/>
    </w:pPr>
  </w:style>
  <w:style w:type="character" w:styleId="1162">
    <w:name w:val="Placeholder Text"/>
    <w:basedOn w:val="1166"/>
    <w:uiPriority w:val="99"/>
    <w:semiHidden/>
    <w:pPr>
      <w:pBdr/>
      <w:spacing/>
      <w:ind/>
    </w:pPr>
    <w:rPr>
      <w:color w:val="666666"/>
    </w:rPr>
  </w:style>
  <w:style w:type="paragraph" w:styleId="1163">
    <w:name w:val="TOC Heading"/>
    <w:uiPriority w:val="39"/>
    <w:unhideWhenUsed/>
    <w:pPr>
      <w:pBdr/>
      <w:spacing/>
      <w:ind/>
    </w:pPr>
  </w:style>
  <w:style w:type="paragraph" w:styleId="1164">
    <w:name w:val="table of figures"/>
    <w:basedOn w:val="1165"/>
    <w:next w:val="1165"/>
    <w:uiPriority w:val="99"/>
    <w:unhideWhenUsed/>
    <w:pPr>
      <w:pBdr/>
      <w:spacing w:after="0" w:afterAutospacing="0"/>
      <w:ind/>
    </w:pPr>
  </w:style>
  <w:style w:type="paragraph" w:styleId="1165" w:default="1">
    <w:name w:val="Normal"/>
    <w:qFormat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66" w:default="1">
    <w:name w:val="Default Paragraph Font"/>
    <w:uiPriority w:val="1"/>
    <w:semiHidden/>
    <w:unhideWhenUsed/>
    <w:pPr>
      <w:pBdr/>
      <w:spacing/>
      <w:ind/>
    </w:pPr>
  </w:style>
  <w:style w:type="table" w:styleId="116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68" w:default="1">
    <w:name w:val="No List"/>
    <w:uiPriority w:val="99"/>
    <w:semiHidden/>
    <w:unhideWhenUsed/>
    <w:pPr>
      <w:pBdr/>
      <w:spacing/>
      <w:ind/>
    </w:pPr>
  </w:style>
  <w:style w:type="paragraph" w:styleId="1169" w:customStyle="1">
    <w:name w:val="Corps"/>
    <w:pPr>
      <w:pBdr/>
      <w:spacing/>
      <w:ind/>
    </w:pPr>
    <w:rPr>
      <w:rFonts w:ascii="Helvetica" w:hAnsi="Helvetica" w:eastAsia="ヒラギノ角ゴ Pro W3" w:cs="Times New Roman"/>
      <w:color w:val="000000"/>
      <w:szCs w:val="20"/>
    </w:rPr>
  </w:style>
  <w:style w:type="paragraph" w:styleId="1170" w:customStyle="1">
    <w:name w:val="Standard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character" w:styleId="1171" w:customStyle="1">
    <w:name w:val="Lien hypertexte1"/>
    <w:pPr>
      <w:pBdr/>
      <w:spacing/>
      <w:ind/>
    </w:pPr>
    <w:rPr>
      <w:color w:val="0000ff"/>
      <w:sz w:val="20"/>
      <w:u w:val="single"/>
    </w:rPr>
  </w:style>
  <w:style w:type="paragraph" w:styleId="1172" w:customStyle="1">
    <w:name w:val="Format libre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paragraph" w:styleId="1173">
    <w:name w:val="List Paragraph"/>
    <w:basedOn w:val="1165"/>
    <w:uiPriority w:val="34"/>
    <w:qFormat/>
    <w:pPr>
      <w:pBdr/>
      <w:spacing/>
      <w:ind w:left="720"/>
      <w:contextualSpacing w:val="true"/>
    </w:pPr>
  </w:style>
  <w:style w:type="paragraph" w:styleId="1174">
    <w:name w:val="Balloon Text"/>
    <w:basedOn w:val="1165"/>
    <w:link w:val="1175"/>
    <w:uiPriority w:val="99"/>
    <w:semiHidden/>
    <w:unhideWhenUsed/>
    <w:pPr>
      <w:pBdr/>
      <w:spacing/>
      <w:ind/>
    </w:pPr>
    <w:rPr>
      <w:rFonts w:ascii="Lucida Grande" w:hAnsi="Lucida Grande" w:cs="Lucida Grande"/>
      <w:sz w:val="18"/>
      <w:szCs w:val="18"/>
    </w:rPr>
  </w:style>
  <w:style w:type="character" w:styleId="1175" w:customStyle="1">
    <w:name w:val="Texte de bulles Car"/>
    <w:basedOn w:val="1166"/>
    <w:link w:val="1174"/>
    <w:uiPriority w:val="99"/>
    <w:semiHidden/>
    <w:pPr>
      <w:pBdr/>
      <w:spacing/>
      <w:ind/>
    </w:pPr>
    <w:rPr>
      <w:rFonts w:ascii="Lucida Grande" w:hAnsi="Lucida Grande" w:eastAsia="ヒラギノ角ゴ Pro W3" w:cs="Lucida Grande"/>
      <w:color w:val="000000"/>
      <w:sz w:val="18"/>
      <w:szCs w:val="18"/>
      <w:lang w:eastAsia="en-US"/>
    </w:rPr>
  </w:style>
  <w:style w:type="paragraph" w:styleId="1176">
    <w:name w:val="Footer"/>
    <w:basedOn w:val="1165"/>
    <w:link w:val="1177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77" w:customStyle="1">
    <w:name w:val="Pied de page Car"/>
    <w:basedOn w:val="1166"/>
    <w:link w:val="1176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78">
    <w:name w:val="page number"/>
    <w:basedOn w:val="1166"/>
    <w:uiPriority w:val="99"/>
    <w:semiHidden/>
    <w:unhideWhenUsed/>
    <w:pPr>
      <w:pBdr/>
      <w:spacing/>
      <w:ind/>
    </w:pPr>
  </w:style>
  <w:style w:type="paragraph" w:styleId="1179">
    <w:name w:val="Header"/>
    <w:basedOn w:val="1165"/>
    <w:link w:val="118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80" w:customStyle="1">
    <w:name w:val="En-tête Car"/>
    <w:basedOn w:val="1166"/>
    <w:link w:val="1179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81">
    <w:name w:val="Hyperlink"/>
    <w:basedOn w:val="1166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182">
    <w:name w:val="Caption"/>
    <w:basedOn w:val="1165"/>
    <w:next w:val="1165"/>
    <w:uiPriority w:val="35"/>
    <w:unhideWhenUsed/>
    <w:qFormat/>
    <w:pPr>
      <w:pBdr/>
      <w:spacing w:after="200"/>
      <w:ind/>
    </w:pPr>
    <w:rPr>
      <w:b/>
      <w:bCs/>
      <w:color w:val="4f81bd" w:themeColor="accent1"/>
      <w:sz w:val="18"/>
      <w:szCs w:val="18"/>
    </w:rPr>
  </w:style>
  <w:style w:type="table" w:styleId="1183">
    <w:name w:val="Table Grid"/>
    <w:basedOn w:val="1167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hyperlink" Target="http://tascam.com/product/dr-100/" TargetMode="External"/><Relationship Id="rId15" Type="http://schemas.openxmlformats.org/officeDocument/2006/relationships/hyperlink" Target="https://www.thomann.de/fr/beyerdynamic_mce530.htm" TargetMode="External"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contact@oraveo.com" TargetMode="External"/><Relationship Id="rId2" Type="http://schemas.openxmlformats.org/officeDocument/2006/relationships/hyperlink" Target="http://www.oraveo.com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36AE9D95-5692-E140-A758-C5F59F9632C8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Films en Lorraine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Grand</dc:creator>
  <cp:keywords/>
  <dc:description/>
  <cp:lastModifiedBy>Sophie Gangloff</cp:lastModifiedBy>
  <cp:revision>6</cp:revision>
  <dcterms:created xsi:type="dcterms:W3CDTF">2023-07-06T08:52:00Z</dcterms:created>
  <dcterms:modified xsi:type="dcterms:W3CDTF">2026-08-18T10:50:17Z</dcterms:modified>
</cp:coreProperties>
</file>