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AA254F0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</w:p>
    <w:p w14:paraId="50A1522E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/>
          <w:bCs/>
          <w:highlight w:val="none"/>
        </w:rPr>
      </w:pPr>
      <w:r>
        <w:rPr>
          <w:rFonts w:asciiTheme="majorHAnsi" w:hAnsiTheme="majorHAnsi"/>
          <w:b/>
        </w:rPr>
        <w:t xml:space="preserve">CONVENTION D’EMPRUNT </w:t>
      </w:r>
      <w:r>
        <w:rPr>
          <w:rFonts w:asciiTheme="majorHAnsi" w:hAnsiTheme="majorHAnsi"/>
          <w:b/>
        </w:rPr>
        <w:t xml:space="preserve">DE </w:t>
      </w:r>
      <w:r>
        <w:rPr>
          <w:rFonts w:asciiTheme="majorHAnsi" w:hAnsiTheme="majorHAnsi"/>
          <w:b/>
        </w:rPr>
        <w:t xml:space="preserve">TABLETTES NUMÉRIQUES</w:t>
      </w:r>
      <w:r>
        <w:rPr>
          <w:rFonts w:asciiTheme="majorHAnsi" w:hAnsiTheme="majorHAnsi"/>
          <w:b/>
        </w:rPr>
      </w:r>
      <w:r>
        <w:rPr>
          <w:rFonts w:asciiTheme="majorHAnsi" w:hAnsiTheme="majorHAnsi"/>
          <w:b/>
          <w:bCs/>
          <w:highlight w:val="none"/>
        </w:rPr>
      </w:r>
    </w:p>
    <w:p w14:paraId="283C995C">
      <w:pPr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 w:val="0"/>
          <w:bCs w:val="0"/>
        </w:rPr>
      </w:pPr>
      <w:r>
        <w:rPr>
          <w:rFonts w:asciiTheme="majorHAnsi" w:hAnsiTheme="majorHAnsi"/>
          <w:b w:val="0"/>
          <w:bCs w:val="0"/>
          <w:highlight w:val="none"/>
        </w:rPr>
        <w:t xml:space="preserve">(cinéma Bel Air – Mulhouse)</w:t>
      </w:r>
      <w:r>
        <w:rPr>
          <w:rFonts w:asciiTheme="majorHAnsi" w:hAnsiTheme="majorHAnsi"/>
          <w:b w:val="0"/>
          <w:bCs w:val="0"/>
          <w:highlight w:val="none"/>
        </w:rPr>
      </w:r>
      <w:r>
        <w:rPr>
          <w:rFonts w:asciiTheme="majorHAnsi" w:hAnsiTheme="majorHAnsi"/>
          <w:b w:val="0"/>
          <w:bCs w:val="0"/>
        </w:rPr>
      </w:r>
    </w:p>
    <w:p w14:paraId="57DA8421" w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</w:r>
    </w:p>
    <w:p w14:paraId="750BC286" w14:textId="77777777">
      <w:pPr>
        <w:pBdr/>
        <w:tabs>
          <w:tab w:val="left" w:leader="none" w:pos="5670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204"/>
        </w:tabs>
        <w:spacing w:after="120"/>
        <w:ind/>
        <w:contextualSpacing w:val="true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i/>
          <w:sz w:val="22"/>
          <w:szCs w:val="22"/>
        </w:rPr>
      </w:r>
      <w:r>
        <w:rPr>
          <w:rFonts w:asciiTheme="majorHAnsi" w:hAnsiTheme="majorHAnsi"/>
          <w:i/>
          <w:sz w:val="22"/>
          <w:szCs w:val="22"/>
        </w:rPr>
      </w:r>
      <w:r>
        <w:rPr>
          <w:rFonts w:asciiTheme="majorHAnsi" w:hAnsiTheme="majorHAnsi"/>
          <w:i/>
          <w:sz w:val="22"/>
          <w:szCs w:val="22"/>
        </w:rPr>
      </w:r>
    </w:p>
    <w:p w14:paraId="4DDB9FAA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ENTRE LES SOUSSIGNÉS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2F80565D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Le RECIT,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AB08945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</w:rPr>
        <w:t xml:space="preserve">Association Loi 1901</w:t>
      </w:r>
      <w:r>
        <w:rPr>
          <w:rFonts w:asciiTheme="majorHAnsi" w:hAnsiTheme="majorHAnsi"/>
          <w:sz w:val="22"/>
          <w:szCs w:val="22"/>
          <w:highlight w:val="none"/>
        </w:rPr>
        <w:t xml:space="preserve">,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87AD67B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Domiciliée à la Maison de l’image, au 31 rue Kageneck à Strasbourg (67000),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93EF8DB">
      <w:pPr>
        <w:pStyle w:val="1155"/>
        <w:pBdr/>
        <w:spacing w:after="120"/>
        <w:ind w:right="290"/>
        <w:contextualSpacing w:val="true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</w:rPr>
        <w:t xml:space="preserve">N° Siret : 43960312700036</w:t>
      </w: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</w:r>
    </w:p>
    <w:p w14:paraId="42B1D0F3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</w:rPr>
      </w:r>
      <w:r>
        <w:rPr>
          <w:rFonts w:ascii="Calibri" w:hAnsi="Calibri" w:eastAsia="Calibri" w:cs="Calibri"/>
          <w:color w:val="000000"/>
          <w:sz w:val="22"/>
        </w:rPr>
        <w:t xml:space="preserve">Assuré par la MAIF n°3644909B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A181195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Représentée par sa Présidente, Madame Laura Cassarino,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850965E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Ci-après dénommée « le RECIT »,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20DD6D7">
      <w:pPr>
        <w:pStyle w:val="1155"/>
        <w:pBdr/>
        <w:spacing w:after="120"/>
        <w:ind w:right="290"/>
        <w:contextualSpacing w:val="true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D’une part,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BE2A724">
      <w:pPr>
        <w:pStyle w:val="1155"/>
        <w:pBdr/>
        <w:spacing w:after="120"/>
        <w:ind w:right="290"/>
        <w:contextualSpacing w:val="true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3424C458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ET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4702D54C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6838F5C9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Nom de la structure : </w:t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4A9EAFF6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sz w:val="22"/>
          <w:szCs w:val="22"/>
          <w:highlight w:val="none"/>
        </w:rPr>
        <w:t xml:space="preserve">SIRET : </w:t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7C82D4F3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white"/>
        </w:rPr>
      </w:pPr>
      <w:r>
        <w:rPr>
          <w:rFonts w:asciiTheme="majorHAnsi" w:hAnsiTheme="majorHAnsi"/>
          <w:sz w:val="22"/>
          <w:szCs w:val="22"/>
          <w:highlight w:val="white"/>
        </w:rPr>
        <w:t xml:space="preserve">Assuré par : </w:t>
      </w:r>
      <w:r>
        <w:rPr>
          <w:rFonts w:asciiTheme="majorHAnsi" w:hAnsiTheme="majorHAnsi"/>
          <w:sz w:val="22"/>
          <w:szCs w:val="22"/>
          <w:highlight w:val="white"/>
        </w:rPr>
      </w:r>
      <w:r>
        <w:rPr>
          <w:rFonts w:asciiTheme="majorHAnsi" w:hAnsiTheme="majorHAnsi"/>
          <w:sz w:val="22"/>
          <w:szCs w:val="22"/>
          <w:highlight w:val="white"/>
        </w:rPr>
      </w:r>
    </w:p>
    <w:p w14:paraId="407C1A2B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Domiciliée au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4B299040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Représentée par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611006C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Ci-après dénommée « l’UTILISATEUR »,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45EE73D">
      <w:pPr>
        <w:pStyle w:val="1155"/>
        <w:pBdr/>
        <w:spacing w:after="120"/>
        <w:ind w:right="290"/>
        <w:contextualSpacing w:val="true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  <w:highlight w:val="none"/>
        </w:rPr>
      </w:r>
      <w:r>
        <w:rPr>
          <w:rFonts w:asciiTheme="majorHAnsi" w:hAnsiTheme="majorHAnsi"/>
          <w:b/>
          <w:bCs/>
          <w:sz w:val="22"/>
          <w:szCs w:val="22"/>
        </w:rPr>
      </w:r>
      <w:r>
        <w:rPr>
          <w:rFonts w:asciiTheme="majorHAnsi" w:hAnsiTheme="majorHAnsi"/>
          <w:b/>
          <w:bCs/>
          <w:sz w:val="22"/>
          <w:szCs w:val="22"/>
        </w:rPr>
      </w:r>
    </w:p>
    <w:p w14:paraId="09A2AD50">
      <w:pPr>
        <w:pStyle w:val="1155"/>
        <w:pBdr/>
        <w:spacing w:after="120"/>
        <w:ind w:right="290"/>
        <w:contextualSpacing w:val="true"/>
        <w:rPr>
          <w:rFonts w:asciiTheme="majorHAnsi" w:hAnsiTheme="majorHAnsi"/>
          <w:b/>
          <w:bCs/>
          <w:sz w:val="22"/>
          <w:szCs w:val="22"/>
          <w:highlight w:val="none"/>
        </w:rPr>
      </w:pPr>
      <w:r>
        <w:rPr>
          <w:rFonts w:asciiTheme="majorHAnsi" w:hAnsiTheme="majorHAnsi"/>
          <w:b/>
          <w:sz w:val="22"/>
          <w:szCs w:val="22"/>
        </w:rPr>
        <w:t xml:space="preserve">D’autre part.</w:t>
      </w:r>
      <w:r>
        <w:rPr>
          <w:rFonts w:asciiTheme="majorHAnsi" w:hAnsiTheme="majorHAnsi"/>
          <w:b/>
          <w:bCs/>
          <w:sz w:val="22"/>
          <w:szCs w:val="22"/>
          <w:highlight w:val="none"/>
        </w:rPr>
      </w:r>
      <w:r>
        <w:rPr>
          <w:rFonts w:asciiTheme="majorHAnsi" w:hAnsiTheme="majorHAnsi"/>
          <w:b/>
          <w:bCs/>
          <w:sz w:val="22"/>
          <w:szCs w:val="22"/>
          <w:highlight w:val="none"/>
        </w:rPr>
      </w:r>
    </w:p>
    <w:p w14:paraId="38CBBB0D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« Le RECIT» et « l’UTILISATEUR », étant ci-après individuellement dénommées « la Partie » ou collectivement « les Parties ».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6F03C69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7D39EC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DBA970D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ETANT PRÉALABLEMENT EXPOSÉ CE QUI SUIT </w:t>
      </w:r>
      <w:r>
        <w:rPr>
          <w:rFonts w:asciiTheme="majorHAnsi" w:hAnsiTheme="majorHAnsi"/>
          <w:b/>
          <w:sz w:val="22"/>
          <w:szCs w:val="22"/>
        </w:rPr>
        <w:t xml:space="preserve">: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87EC58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558ed5" w:themeColor="text2" w:themeTint="99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  <w:u w:val="none"/>
        </w:rPr>
        <w:t xml:space="preserve">En sa qualité de pôle régional d’éducation aux images, le RECIT est missionné par le ministère de la Culture (CNC, DRAC Grand Est) pour mettre à disposition du matériel audiovisuel et des outils ludiques auprès des structures souhaitant développe</w:t>
      </w:r>
      <w:r>
        <w:rPr>
          <w:rFonts w:ascii="Calibri" w:hAnsi="Calibri" w:eastAsia="Calibri" w:cs="Calibri"/>
          <w:color w:val="000000"/>
          <w:sz w:val="22"/>
          <w:szCs w:val="22"/>
          <w:u w:val="none"/>
        </w:rPr>
        <w:t xml:space="preserve">r des projets d’éducation aux images auprès de leurs publics.</w:t>
      </w: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</w:r>
    </w:p>
    <w:p w14:paraId="44A547B8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 w:themeColor="text1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Le RECIT a donc développé un centre de ressources varié, empruntable gratuitement par les structures, afin d’accompagner et d’enrichir leur travail autour du cinéma, de l’image et du son. 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Ce matériel est destiné aux professionnel·les des secteurs associatifs, éducatifs, sociaux médico-sociaux, artistiques ou culturels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.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Le RECIT est à l’écoute de leurs besoins et envies.</w:t>
      </w:r>
      <w:r>
        <w:rPr>
          <w:rFonts w:ascii="Calibri" w:hAnsi="Calibri" w:eastAsia="Calibri" w:cs="Calibri"/>
          <w:color w:val="000000" w:themeColor="text1"/>
          <w:sz w:val="22"/>
          <w:szCs w:val="22"/>
        </w:rPr>
      </w:r>
      <w:r>
        <w:rPr>
          <w:rFonts w:ascii="Calibri" w:hAnsi="Calibri" w:eastAsia="Calibri" w:cs="Calibri"/>
          <w:color w:val="000000" w:themeColor="text1"/>
          <w:sz w:val="22"/>
          <w:szCs w:val="22"/>
        </w:rPr>
      </w:r>
    </w:p>
    <w:p w14:paraId="21511D0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ascii="Calibri" w:hAnsi="Calibri" w:eastAsia="Calibri" w:cs="Calibri"/>
          <w:color w:val="000000"/>
          <w:sz w:val="22"/>
          <w:szCs w:val="22"/>
        </w:rPr>
        <w:t xml:space="preserve">La demande d’emprunt de matériel est validée en fonction de sa disponibilité et à la condition qu’une personne de la structure emprunteuse ait suivi un temps de formation préalable proposé par le RECIT. </w:t>
      </w:r>
      <w:r>
        <w:rPr>
          <w:rFonts w:ascii="Calibri" w:hAnsi="Calibri" w:eastAsia="Calibri" w:cs="Calibri"/>
          <w:color w:val="000000"/>
          <w:sz w:val="22"/>
          <w:szCs w:val="22"/>
        </w:rPr>
      </w:r>
      <w:r>
        <w:rPr>
          <w:rFonts w:ascii="Calibri" w:hAnsi="Calibri" w:eastAsia="Calibri" w:cs="Calibri"/>
          <w:color w:val="000000"/>
          <w:sz w:val="22"/>
          <w:szCs w:val="22"/>
        </w:rPr>
      </w:r>
    </w:p>
    <w:p w14:paraId="3E1DF9E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/>
        <w:ind w:right="0" w:firstLine="0" w:left="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="Calibri" w:hAnsi="Calibri" w:eastAsia="Calibri" w:cs="Calibri"/>
          <w:color w:val="000000"/>
          <w:sz w:val="24"/>
          <w:szCs w:val="24"/>
        </w:rPr>
      </w:r>
      <w:r>
        <w:rPr>
          <w:rFonts w:ascii="Calibri" w:hAnsi="Calibri" w:eastAsia="Calibri" w:cs="Calibri"/>
          <w:color w:val="000000"/>
          <w:sz w:val="24"/>
          <w:szCs w:val="24"/>
        </w:rPr>
      </w:r>
    </w:p>
    <w:p w14:paraId="68E68DAD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="Calibri" w:hAnsi="Calibri" w:eastAsia="Calibri" w:cs="Calibri"/>
          <w:color w:val="000000" w:themeColor="text1"/>
          <w:sz w:val="22"/>
          <w:szCs w:val="22"/>
        </w:rPr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Au sein de son parc de matériel,</w:t>
      </w:r>
      <w:r>
        <w:rPr>
          <w:rFonts w:asciiTheme="majorHAnsi" w:hAnsiTheme="majorHAnsi"/>
          <w:color w:val="000000" w:themeColor="text1"/>
          <w:sz w:val="22"/>
          <w:szCs w:val="22"/>
        </w:rPr>
        <w:t xml:space="preserve"> le RECIT met à disposition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 xml:space="preserve">trois</w:t>
      </w:r>
      <w:r>
        <w:rPr>
          <w:rFonts w:asciiTheme="majorHAnsi" w:hAnsiTheme="majorHAnsi"/>
          <w:b/>
          <w:sz w:val="22"/>
          <w:szCs w:val="22"/>
        </w:rPr>
        <w:t xml:space="preserve"> tablettes </w:t>
      </w:r>
      <w:r>
        <w:rPr>
          <w:rFonts w:asciiTheme="majorHAnsi" w:hAnsiTheme="majorHAnsi"/>
          <w:b/>
          <w:sz w:val="22"/>
          <w:szCs w:val="22"/>
        </w:rPr>
        <w:t xml:space="preserve">Samsung Galaxy TabA</w:t>
      </w:r>
      <w:r>
        <w:rPr>
          <w:rFonts w:asciiTheme="majorHAnsi" w:hAnsiTheme="majorHAnsi"/>
          <w:b/>
          <w:sz w:val="22"/>
          <w:szCs w:val="22"/>
        </w:rPr>
        <w:t xml:space="preserve">6</w:t>
      </w:r>
      <w:r>
        <w:rPr>
          <w:rFonts w:asciiTheme="majorHAnsi" w:hAnsiTheme="majorHAnsi"/>
          <w:b/>
          <w:sz w:val="22"/>
          <w:szCs w:val="22"/>
        </w:rPr>
        <w:t xml:space="preserve"> ainsi</w:t>
      </w:r>
      <w:r>
        <w:rPr>
          <w:rFonts w:asciiTheme="majorHAnsi" w:hAnsiTheme="majorHAnsi"/>
          <w:b/>
          <w:sz w:val="22"/>
          <w:szCs w:val="22"/>
        </w:rPr>
        <w:t xml:space="preserve"> que deux</w:t>
      </w:r>
      <w:r>
        <w:rPr>
          <w:rFonts w:asciiTheme="majorHAnsi" w:hAnsiTheme="majorHAnsi"/>
          <w:b/>
          <w:sz w:val="22"/>
          <w:szCs w:val="22"/>
        </w:rPr>
        <w:t xml:space="preserve"> tablettes Blackview</w:t>
      </w:r>
      <w:r>
        <w:rPr>
          <w:rFonts w:asciiTheme="majorHAnsi" w:hAnsiTheme="majorHAnsi"/>
          <w:b/>
          <w:sz w:val="22"/>
          <w:szCs w:val="22"/>
        </w:rPr>
        <w:t xml:space="preserve"> TabA8</w:t>
      </w:r>
      <w:r>
        <w:rPr>
          <w:rFonts w:asciiTheme="majorHAnsi" w:hAnsiTheme="majorHAnsi"/>
          <w:sz w:val="22"/>
          <w:szCs w:val="22"/>
        </w:rPr>
        <w:t xml:space="preserve">, avec leur </w:t>
      </w:r>
      <w:r>
        <w:rPr>
          <w:rFonts w:asciiTheme="majorHAnsi" w:hAnsiTheme="majorHAnsi"/>
          <w:sz w:val="22"/>
          <w:szCs w:val="22"/>
        </w:rPr>
        <w:t xml:space="preserve">pochette, </w:t>
      </w:r>
      <w:r>
        <w:rPr>
          <w:rFonts w:asciiTheme="majorHAnsi" w:hAnsiTheme="majorHAnsi"/>
          <w:sz w:val="22"/>
          <w:szCs w:val="22"/>
        </w:rPr>
        <w:t xml:space="preserve">chargeur, câble USB et écouteurs. </w:t>
      </w:r>
      <w:r>
        <w:rPr>
          <w:rFonts w:asciiTheme="majorHAnsi" w:hAnsiTheme="majorHAnsi"/>
          <w:sz w:val="22"/>
          <w:szCs w:val="22"/>
        </w:rPr>
        <w:t xml:space="preserve">5 supports articulés sont également prêté</w:t>
      </w:r>
      <w:r>
        <w:rPr>
          <w:rFonts w:asciiTheme="majorHAnsi" w:hAnsiTheme="majorHAnsi"/>
          <w:sz w:val="22"/>
          <w:szCs w:val="22"/>
        </w:rPr>
        <w:t xml:space="preserve">s sur demande.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3683E2D9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</w:rPr>
      </w:r>
    </w:p>
    <w:p w14:paraId="7319FD93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721ED92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CECI AYANT ÉTÉ RAPPELÉ, IL A ÉTÉ CONVENU ET ARRÊTÉ CE QUI SUIT :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BA3D154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1 : </w:t>
      </w:r>
      <w:r>
        <w:rPr>
          <w:rFonts w:asciiTheme="majorHAnsi" w:hAnsiTheme="majorHAnsi"/>
          <w:b/>
          <w:sz w:val="22"/>
          <w:szCs w:val="22"/>
        </w:rPr>
        <w:t xml:space="preserve">OBJET DE LA CONVENTION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56A274CE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a pour objet de définir les conditions dans lesquelles l’UTILISATEUR est autorisé à utiliser le matérie</w:t>
      </w:r>
      <w:r>
        <w:rPr>
          <w:rFonts w:asciiTheme="majorHAnsi" w:hAnsiTheme="majorHAnsi"/>
          <w:sz w:val="22"/>
          <w:szCs w:val="22"/>
        </w:rPr>
        <w:t xml:space="preserve">l de tournage tel que l</w:t>
      </w:r>
      <w:r>
        <w:rPr>
          <w:rFonts w:asciiTheme="majorHAnsi" w:hAnsiTheme="majorHAnsi"/>
          <w:sz w:val="22"/>
          <w:szCs w:val="22"/>
        </w:rPr>
        <w:t xml:space="preserve">is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é à l’Arti</w:t>
      </w:r>
      <w:r>
        <w:rPr>
          <w:rFonts w:asciiTheme="majorHAnsi" w:hAnsiTheme="majorHAnsi"/>
          <w:sz w:val="22"/>
          <w:szCs w:val="22"/>
        </w:rPr>
        <w:t xml:space="preserve">cle 2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167F541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La conclusion de ce</w:t>
      </w:r>
      <w:r>
        <w:rPr>
          <w:rFonts w:asciiTheme="majorHAnsi" w:hAnsiTheme="majorHAnsi"/>
          <w:sz w:val="22"/>
          <w:szCs w:val="22"/>
        </w:rPr>
        <w:t xml:space="preserve">tte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vention</w:t>
      </w:r>
      <w:r>
        <w:rPr>
          <w:rFonts w:asciiTheme="majorHAnsi" w:hAnsiTheme="majorHAnsi"/>
          <w:sz w:val="22"/>
          <w:szCs w:val="22"/>
        </w:rPr>
        <w:t xml:space="preserve"> entraîne l’acceptation des conditions d’utilisation de ce Matériel telles qu’elles figurent dans l’article 3.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C388019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1E9735D9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2 : MISE À DISPOSITION DU MATÉRIEL</w:t>
      </w:r>
      <w:r>
        <w:rPr>
          <w:rFonts w:asciiTheme="majorHAnsi" w:hAnsiTheme="majorHAnsi"/>
          <w:b/>
          <w:sz w:val="22"/>
          <w:szCs w:val="22"/>
        </w:rPr>
        <w:t xml:space="preserve"> ET DURÉE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29F97590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autorise la mise à disposition du matériel suivant</w:t>
      </w:r>
      <w:r>
        <w:rPr>
          <w:rFonts w:asciiTheme="majorHAnsi" w:hAnsiTheme="majorHAnsi"/>
          <w:sz w:val="22"/>
          <w:szCs w:val="22"/>
        </w:rPr>
        <w:t xml:space="preserve"> pour une durée de 2 semaines maximum</w:t>
      </w:r>
      <w:r>
        <w:rPr>
          <w:rFonts w:asciiTheme="majorHAnsi" w:hAnsiTheme="majorHAnsi"/>
          <w:sz w:val="22"/>
          <w:szCs w:val="22"/>
        </w:rPr>
        <w:t xml:space="preserve"> :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21FE3D6" w14:textId="5F1E1F9A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</w:r>
      <w:r>
        <w:rPr>
          <w:rFonts w:asciiTheme="majorHAnsi" w:hAnsiTheme="majorHAnsi"/>
          <w:b/>
          <w:sz w:val="24"/>
          <w:szCs w:val="24"/>
        </w:rPr>
      </w:r>
      <w:r>
        <w:rPr>
          <w:rFonts w:asciiTheme="majorHAnsi" w:hAnsiTheme="majorHAnsi"/>
          <w:b/>
          <w:sz w:val="24"/>
          <w:szCs w:val="24"/>
        </w:rPr>
      </w:r>
    </w:p>
    <w:p w14:paraId="7C74705D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  <w:u w:val="single"/>
        </w:rPr>
      </w:pPr>
      <w:r>
        <w:rPr>
          <w:rFonts w:ascii="Apple Symbols" w:hAnsi="Apple Symbols" w:cs="Apple Symbols"/>
          <w:sz w:val="24"/>
          <w:szCs w:val="24"/>
        </w:rPr>
        <w:t xml:space="preserve">cf Annexe 2</w:t>
      </w:r>
      <w:r>
        <w:rPr>
          <w:rFonts w:asciiTheme="majorHAnsi" w:hAnsiTheme="majorHAnsi"/>
          <w:b/>
          <w:sz w:val="22"/>
          <w:szCs w:val="22"/>
          <w:u w:val="single"/>
        </w:rPr>
      </w:r>
      <w:r>
        <w:rPr>
          <w:rFonts w:asciiTheme="majorHAnsi" w:hAnsiTheme="majorHAnsi"/>
          <w:b/>
          <w:sz w:val="22"/>
          <w:szCs w:val="22"/>
          <w:u w:val="single"/>
        </w:rPr>
      </w:r>
    </w:p>
    <w:p w14:paraId="1A07A802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  <w:u w:val="single"/>
        </w:rPr>
      </w:pPr>
      <w:r>
        <w:rPr>
          <w:rFonts w:asciiTheme="majorHAnsi" w:hAnsiTheme="majorHAnsi"/>
          <w:b/>
          <w:sz w:val="22"/>
          <w:szCs w:val="22"/>
          <w:u w:val="single"/>
        </w:rPr>
      </w:r>
      <w:r>
        <w:rPr>
          <w:rFonts w:asciiTheme="majorHAnsi" w:hAnsiTheme="majorHAnsi"/>
          <w:b/>
          <w:sz w:val="22"/>
          <w:szCs w:val="22"/>
          <w:u w:val="single"/>
        </w:rPr>
      </w:r>
      <w:r>
        <w:rPr>
          <w:rFonts w:asciiTheme="majorHAnsi" w:hAnsiTheme="majorHAnsi"/>
          <w:b/>
          <w:sz w:val="22"/>
          <w:szCs w:val="22"/>
          <w:u w:val="single"/>
        </w:rPr>
      </w:r>
    </w:p>
    <w:p w14:paraId="32C510E5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  <w:u w:val="single"/>
        </w:rPr>
      </w:pPr>
      <w:r>
        <w:rPr>
          <w:rFonts w:asciiTheme="majorHAnsi" w:hAnsiTheme="majorHAnsi"/>
          <w:b/>
          <w:sz w:val="22"/>
          <w:szCs w:val="22"/>
          <w:u w:val="single"/>
        </w:rPr>
        <w:t xml:space="preserve">Pour les besoins suivants :</w:t>
      </w:r>
      <w:r>
        <w:rPr>
          <w:rFonts w:asciiTheme="majorHAnsi" w:hAnsiTheme="majorHAnsi"/>
          <w:b/>
          <w:sz w:val="22"/>
          <w:szCs w:val="22"/>
          <w:u w:val="single"/>
        </w:rPr>
      </w:r>
      <w:r>
        <w:rPr>
          <w:rFonts w:asciiTheme="majorHAnsi" w:hAnsiTheme="majorHAnsi"/>
          <w:b/>
          <w:sz w:val="22"/>
          <w:szCs w:val="22"/>
          <w:u w:val="single"/>
        </w:rPr>
      </w:r>
    </w:p>
    <w:p w14:paraId="4D25F58F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Nature de l’événement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444A5D05" w14:textId="5037FAEA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Date(s) de location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73DF5C22" w14:textId="0EA1CC96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Transport / Date de l’enlèvement 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5ADE83F4" w14:textId="70324758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Transport / Date de retour : 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25790E5F" w14:textId="02543E80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Nombre de tablettes empruntées :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  <w:highlight w:val="none"/>
        </w:rPr>
      </w:r>
    </w:p>
    <w:p w14:paraId="37A18473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  <w:highlight w:val="yellow"/>
        </w:rPr>
      </w:pPr>
      <w:r>
        <w:rPr>
          <w:rFonts w:asciiTheme="majorHAnsi" w:hAnsiTheme="majorHAnsi"/>
          <w:sz w:val="22"/>
          <w:szCs w:val="22"/>
          <w:highlight w:val="yellow"/>
        </w:rPr>
        <w:t xml:space="preserve">Accessoires empruntés (préciser si besoin) :</w:t>
      </w:r>
      <w:r>
        <w:rPr>
          <w:rFonts w:asciiTheme="majorHAnsi" w:hAnsiTheme="majorHAnsi"/>
          <w:sz w:val="22"/>
          <w:szCs w:val="22"/>
          <w:highlight w:val="yellow"/>
        </w:rPr>
      </w:r>
      <w:r>
        <w:rPr>
          <w:rFonts w:asciiTheme="majorHAnsi" w:hAnsiTheme="majorHAnsi"/>
          <w:sz w:val="22"/>
          <w:szCs w:val="22"/>
          <w:highlight w:val="yellow"/>
        </w:rPr>
      </w:r>
    </w:p>
    <w:p w14:paraId="4845BED8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cs="Helvetica" w:asciiTheme="majorHAnsi" w:hAnsiTheme="majorHAnsi"/>
          <w:sz w:val="22"/>
          <w:szCs w:val="22"/>
          <w:highlight w:val="none"/>
        </w:rPr>
      </w:r>
      <w:r>
        <w:rPr>
          <w:rFonts w:cs="Helvetica" w:asciiTheme="majorHAnsi" w:hAnsiTheme="majorHAnsi"/>
          <w:sz w:val="22"/>
          <w:szCs w:val="22"/>
          <w:highlight w:val="none"/>
        </w:rPr>
      </w:r>
      <w:r>
        <w:rPr>
          <w:rFonts w:asciiTheme="majorHAnsi" w:hAnsiTheme="majorHAnsi"/>
          <w:sz w:val="22"/>
          <w:szCs w:val="22"/>
        </w:rPr>
      </w:r>
    </w:p>
    <w:p w14:paraId="3102AAA5" w14:textId="3DA2BEE9">
      <w:pPr>
        <w:pStyle w:val="1155"/>
        <w:pBdr/>
        <w:spacing w:after="120"/>
        <w:ind w:right="290"/>
        <w:contextualSpacing w:val="true"/>
        <w:jc w:val="both"/>
        <w:rPr>
          <w:rFonts w:cs="Helvetica" w:asciiTheme="majorHAnsi" w:hAnsiTheme="majorHAnsi"/>
          <w:sz w:val="22"/>
          <w:szCs w:val="22"/>
          <w:highlight w:val="none"/>
        </w:rPr>
      </w:pPr>
      <w:r>
        <w:rPr>
          <w:rFonts w:asciiTheme="majorHAnsi" w:hAnsiTheme="majorHAnsi"/>
          <w:sz w:val="22"/>
          <w:szCs w:val="22"/>
        </w:rPr>
        <w:t xml:space="preserve">Sauf cas particulier qui sera</w:t>
      </w:r>
      <w:r>
        <w:rPr>
          <w:rFonts w:asciiTheme="majorHAnsi" w:hAnsiTheme="majorHAnsi"/>
          <w:sz w:val="22"/>
          <w:szCs w:val="22"/>
        </w:rPr>
        <w:t xml:space="preserve"> notifié à l’UTILISATEUR avant le début de l’évènement, l’enlèvement et le retour du Matériel se </w:t>
      </w:r>
      <w:r>
        <w:rPr>
          <w:rFonts w:asciiTheme="majorHAnsi" w:hAnsiTheme="majorHAnsi"/>
          <w:sz w:val="22"/>
          <w:szCs w:val="22"/>
        </w:rPr>
        <w:t xml:space="preserve">font</w:t>
      </w:r>
      <w:r>
        <w:rPr>
          <w:rFonts w:asciiTheme="majorHAnsi" w:hAnsiTheme="majorHAnsi"/>
          <w:sz w:val="22"/>
          <w:szCs w:val="22"/>
        </w:rPr>
        <w:t xml:space="preserve"> im</w:t>
      </w:r>
      <w:r>
        <w:rPr>
          <w:rFonts w:asciiTheme="majorHAnsi" w:hAnsiTheme="majorHAnsi"/>
          <w:sz w:val="22"/>
          <w:szCs w:val="22"/>
        </w:rPr>
        <w:t xml:space="preserve">pérativement depuis et vers le </w:t>
      </w:r>
      <w:r>
        <w:rPr>
          <w:rFonts w:asciiTheme="majorHAnsi" w:hAnsiTheme="majorHAnsi"/>
          <w:b/>
          <w:sz w:val="22"/>
          <w:szCs w:val="22"/>
        </w:rPr>
        <w:t xml:space="preserve">cinéma le Bel Air</w:t>
      </w:r>
      <w:r>
        <w:rPr>
          <w:rFonts w:asciiTheme="majorHAnsi" w:hAnsiTheme="majorHAnsi"/>
          <w:sz w:val="22"/>
          <w:szCs w:val="22"/>
        </w:rPr>
        <w:t xml:space="preserve">, </w:t>
      </w:r>
      <w:r>
        <w:rPr>
          <w:rFonts w:asciiTheme="majorHAnsi" w:hAnsiTheme="majorHAnsi"/>
          <w:b/>
          <w:bCs/>
          <w:sz w:val="22"/>
          <w:szCs w:val="22"/>
        </w:rPr>
        <w:t xml:space="preserve">au 31 rue Fénelon </w:t>
      </w:r>
      <w:r>
        <w:rPr>
          <w:rFonts w:asciiTheme="majorHAnsi" w:hAnsiTheme="majorHAnsi"/>
          <w:b/>
          <w:bCs/>
          <w:sz w:val="22"/>
          <w:szCs w:val="22"/>
        </w:rPr>
        <w:t xml:space="preserve">à Mulhouse</w:t>
      </w:r>
      <w:r>
        <w:rPr>
          <w:rFonts w:asciiTheme="majorHAnsi" w:hAnsiTheme="majorHAnsi"/>
          <w:b/>
          <w:bCs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cs="Helvetica" w:asciiTheme="majorHAnsi" w:hAnsiTheme="majorHAnsi"/>
          <w:sz w:val="22"/>
          <w:szCs w:val="22"/>
        </w:rPr>
        <w:t xml:space="preserve">Si des arrangements particuliers sont trouvés entre les structures qui empruntent </w:t>
      </w:r>
      <w:r>
        <w:rPr>
          <w:rFonts w:cs="Helvetica" w:asciiTheme="majorHAnsi" w:hAnsiTheme="majorHAnsi"/>
          <w:sz w:val="22"/>
          <w:szCs w:val="22"/>
        </w:rPr>
        <w:t xml:space="preserve">le matériel</w:t>
      </w:r>
      <w:r>
        <w:rPr>
          <w:rFonts w:cs="Helvetica" w:asciiTheme="majorHAnsi" w:hAnsiTheme="majorHAnsi"/>
          <w:sz w:val="22"/>
          <w:szCs w:val="22"/>
        </w:rPr>
        <w:t xml:space="preserve"> sur des périodes consécutives, ces dernières sont priées de faire valider au préalable par </w:t>
      </w:r>
      <w:r>
        <w:rPr>
          <w:rFonts w:cs="Helvetica" w:asciiTheme="majorHAnsi" w:hAnsiTheme="majorHAnsi"/>
          <w:sz w:val="22"/>
          <w:szCs w:val="22"/>
        </w:rPr>
        <w:t xml:space="preserve">le RECIT</w:t>
      </w:r>
      <w:r>
        <w:rPr>
          <w:rFonts w:cs="Helvetica" w:asciiTheme="majorHAnsi" w:hAnsiTheme="majorHAnsi"/>
          <w:sz w:val="22"/>
          <w:szCs w:val="22"/>
        </w:rPr>
        <w:t xml:space="preserve"> les mouvements du matériel. Les deux utilisateurs concernés devront procéder ensemble à la vérification de l’état du matériel et signaler </w:t>
      </w:r>
      <w:r>
        <w:rPr>
          <w:rFonts w:cs="Helvetica" w:asciiTheme="majorHAnsi" w:hAnsiTheme="majorHAnsi"/>
          <w:sz w:val="22"/>
          <w:szCs w:val="22"/>
        </w:rPr>
        <w:t xml:space="preserve">au RECIT</w:t>
      </w:r>
      <w:r>
        <w:rPr>
          <w:rFonts w:cs="Helvetica" w:asciiTheme="majorHAnsi" w:hAnsiTheme="majorHAnsi"/>
          <w:sz w:val="22"/>
          <w:szCs w:val="22"/>
        </w:rPr>
        <w:t xml:space="preserve"> toute irrégularité.</w:t>
      </w:r>
      <w:r>
        <w:rPr>
          <w:rFonts w:asciiTheme="majorHAnsi" w:hAnsiTheme="majorHAnsi"/>
          <w:sz w:val="22"/>
          <w:szCs w:val="22"/>
        </w:rPr>
      </w:r>
      <w:r>
        <w:rPr>
          <w:rFonts w:cs="Helvetica" w:asciiTheme="majorHAnsi" w:hAnsiTheme="majorHAnsi"/>
          <w:sz w:val="22"/>
          <w:szCs w:val="22"/>
          <w:highlight w:val="none"/>
        </w:rPr>
      </w:r>
    </w:p>
    <w:p w14:paraId="4E593DE1" w14:textId="77777777">
      <w:pPr>
        <w:pStyle w:val="1155"/>
        <w:pBdr/>
        <w:spacing/>
        <w:ind w:right="289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0A7B495" w14:textId="77777777">
      <w:pPr>
        <w:pStyle w:val="1155"/>
        <w:pBdr/>
        <w:spacing/>
        <w:ind w:right="289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Toute cession de la présente Conven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à un tiers est formellement interdite.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CC79BC8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20B037D3" w14:textId="77777777">
      <w:pPr>
        <w:pStyle w:val="1155"/>
        <w:pBdr/>
        <w:spacing/>
        <w:ind w:right="289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3 : UTILISATION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235A7046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L’UTILISATEUR restera garant vis-à</w:t>
      </w:r>
      <w:r>
        <w:rPr>
          <w:rFonts w:asciiTheme="majorHAnsi" w:hAnsiTheme="majorHAnsi"/>
          <w:sz w:val="22"/>
          <w:szCs w:val="22"/>
        </w:rPr>
        <w:t xml:space="preserve">-</w:t>
      </w:r>
      <w:r>
        <w:rPr>
          <w:rFonts w:asciiTheme="majorHAnsi" w:hAnsiTheme="majorHAnsi"/>
          <w:sz w:val="22"/>
          <w:szCs w:val="22"/>
        </w:rPr>
        <w:t xml:space="preserve">vis </w:t>
      </w:r>
      <w:r>
        <w:rPr>
          <w:rFonts w:asciiTheme="majorHAnsi" w:hAnsiTheme="majorHAnsi"/>
          <w:sz w:val="22"/>
          <w:szCs w:val="22"/>
        </w:rPr>
        <w:t xml:space="preserve">du RECIT</w:t>
      </w:r>
      <w:r>
        <w:rPr>
          <w:rFonts w:asciiTheme="majorHAnsi" w:hAnsiTheme="majorHAnsi"/>
          <w:sz w:val="22"/>
          <w:szCs w:val="22"/>
        </w:rPr>
        <w:t xml:space="preserve"> de la bonne utilisation du Matériel jusqu’à sa restitution.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F91E001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A4B7780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4</w:t>
      </w:r>
      <w:r>
        <w:rPr>
          <w:rFonts w:asciiTheme="majorHAnsi" w:hAnsiTheme="majorHAnsi"/>
          <w:b/>
          <w:sz w:val="22"/>
          <w:szCs w:val="22"/>
        </w:rPr>
        <w:t xml:space="preserve"> : PRIX ET GARANTIES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3C347458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L’emprunt des tablettes est gratuit.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3601DC6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9630B8C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Un état du matériel</w:t>
      </w:r>
      <w:r>
        <w:rPr>
          <w:rFonts w:asciiTheme="majorHAnsi" w:hAnsiTheme="majorHAnsi"/>
          <w:b/>
          <w:sz w:val="22"/>
          <w:szCs w:val="22"/>
        </w:rPr>
        <w:t xml:space="preserve"> établi au moment de son </w:t>
      </w:r>
      <w:r>
        <w:rPr>
          <w:rFonts w:asciiTheme="majorHAnsi" w:hAnsiTheme="majorHAnsi"/>
          <w:b/>
          <w:sz w:val="22"/>
          <w:szCs w:val="22"/>
        </w:rPr>
        <w:t xml:space="preserve">enlèvement est joint en annexe </w:t>
      </w:r>
      <w:r>
        <w:rPr>
          <w:rFonts w:asciiTheme="majorHAnsi" w:hAnsiTheme="majorHAnsi"/>
          <w:b/>
          <w:sz w:val="22"/>
          <w:szCs w:val="22"/>
        </w:rPr>
        <w:t xml:space="preserve">2 </w:t>
      </w:r>
      <w:r>
        <w:rPr>
          <w:rFonts w:asciiTheme="majorHAnsi" w:hAnsiTheme="majorHAnsi"/>
          <w:b/>
          <w:sz w:val="22"/>
          <w:szCs w:val="22"/>
        </w:rPr>
        <w:t xml:space="preserve">d</w:t>
      </w:r>
      <w:r>
        <w:rPr>
          <w:rFonts w:asciiTheme="majorHAnsi" w:hAnsiTheme="majorHAnsi"/>
          <w:b/>
          <w:sz w:val="22"/>
          <w:szCs w:val="22"/>
        </w:rPr>
        <w:t xml:space="preserve">e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 xml:space="preserve">la </w:t>
      </w:r>
      <w:r>
        <w:rPr>
          <w:rFonts w:asciiTheme="majorHAnsi" w:hAnsiTheme="majorHAnsi"/>
          <w:b/>
          <w:sz w:val="22"/>
          <w:szCs w:val="22"/>
        </w:rPr>
        <w:t xml:space="preserve">présent</w:t>
      </w:r>
      <w:r>
        <w:rPr>
          <w:rFonts w:asciiTheme="majorHAnsi" w:hAnsiTheme="majorHAnsi"/>
          <w:b/>
          <w:sz w:val="22"/>
          <w:szCs w:val="22"/>
        </w:rPr>
        <w:t xml:space="preserve">e</w:t>
      </w:r>
      <w:r>
        <w:rPr>
          <w:rFonts w:asciiTheme="majorHAnsi" w:hAnsiTheme="majorHAnsi"/>
          <w:b/>
          <w:sz w:val="22"/>
          <w:szCs w:val="22"/>
        </w:rPr>
        <w:t xml:space="preserve"> Con</w:t>
      </w:r>
      <w:r>
        <w:rPr>
          <w:rFonts w:asciiTheme="majorHAnsi" w:hAnsiTheme="majorHAnsi"/>
          <w:b/>
          <w:sz w:val="22"/>
          <w:szCs w:val="22"/>
        </w:rPr>
        <w:t xml:space="preserve">vention</w:t>
      </w:r>
      <w:r>
        <w:rPr>
          <w:rFonts w:asciiTheme="majorHAnsi" w:hAnsiTheme="majorHAnsi"/>
          <w:b/>
          <w:sz w:val="22"/>
          <w:szCs w:val="22"/>
        </w:rPr>
        <w:t xml:space="preserve">.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 xml:space="preserve">De même, un état du Matériel sera établi au moment de sa restitution.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47BED2CD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7EA9CD3F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5</w:t>
      </w:r>
      <w:r>
        <w:rPr>
          <w:rFonts w:asciiTheme="majorHAnsi" w:hAnsiTheme="majorHAnsi"/>
          <w:b/>
          <w:sz w:val="22"/>
          <w:szCs w:val="22"/>
        </w:rPr>
        <w:t xml:space="preserve"> : RESPONSABILITÉ ET ASSURANCE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5333F4BA" w14:textId="421E7E50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L’UTILISATEUR s’engage à assurer </w:t>
      </w:r>
      <w:r>
        <w:rPr>
          <w:rFonts w:asciiTheme="majorHAnsi" w:hAnsiTheme="majorHAnsi"/>
          <w:sz w:val="22"/>
          <w:szCs w:val="22"/>
        </w:rPr>
        <w:t xml:space="preserve">les tablettes </w:t>
      </w:r>
      <w:r>
        <w:rPr>
          <w:rFonts w:asciiTheme="majorHAnsi" w:hAnsiTheme="majorHAnsi"/>
          <w:sz w:val="22"/>
          <w:szCs w:val="22"/>
        </w:rPr>
        <w:t xml:space="preserve">(dont la valeur est estimée à </w:t>
      </w:r>
      <w:r>
        <w:rPr>
          <w:rFonts w:asciiTheme="majorHAnsi" w:hAnsiTheme="majorHAnsi"/>
          <w:sz w:val="22"/>
          <w:szCs w:val="22"/>
        </w:rPr>
        <w:t xml:space="preserve">190</w:t>
      </w:r>
      <w:r>
        <w:rPr>
          <w:rFonts w:asciiTheme="majorHAnsi" w:hAnsiTheme="majorHAnsi"/>
          <w:sz w:val="22"/>
          <w:szCs w:val="22"/>
        </w:rPr>
        <w:t xml:space="preserve"> euros</w:t>
      </w:r>
      <w:r>
        <w:rPr>
          <w:rFonts w:asciiTheme="majorHAnsi" w:hAnsiTheme="majorHAnsi"/>
          <w:sz w:val="22"/>
          <w:szCs w:val="22"/>
        </w:rPr>
        <w:t xml:space="preserve"> pour chaque appareil</w:t>
      </w:r>
      <w:r>
        <w:rPr>
          <w:rFonts w:asciiTheme="majorHAnsi" w:hAnsiTheme="majorHAnsi"/>
          <w:sz w:val="22"/>
          <w:szCs w:val="22"/>
        </w:rPr>
        <w:t xml:space="preserve">)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pendant</w:t>
      </w:r>
      <w:r>
        <w:rPr>
          <w:rFonts w:asciiTheme="majorHAnsi" w:hAnsiTheme="majorHAnsi"/>
          <w:sz w:val="22"/>
          <w:szCs w:val="22"/>
        </w:rPr>
        <w:t xml:space="preserve"> la période de prêt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color w:val="auto"/>
          <w:sz w:val="22"/>
          <w:szCs w:val="22"/>
        </w:rPr>
        <w:t xml:space="preserve">transport inclus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  <w:t xml:space="preserve"> En cas de sinistre, dégradation, perte ou vol de la Mallette, l</w:t>
      </w:r>
      <w:r>
        <w:rPr>
          <w:rFonts w:asciiTheme="majorHAnsi" w:hAnsiTheme="majorHAnsi"/>
          <w:sz w:val="22"/>
          <w:szCs w:val="22"/>
        </w:rPr>
        <w:t xml:space="preserve">’UTILISATEUR demeure entièrement responsable des dommages matériels </w:t>
      </w:r>
      <w:r>
        <w:rPr>
          <w:rFonts w:asciiTheme="majorHAnsi" w:hAnsiTheme="majorHAnsi"/>
          <w:sz w:val="22"/>
          <w:szCs w:val="22"/>
        </w:rPr>
        <w:t xml:space="preserve">causés</w:t>
      </w:r>
      <w:r>
        <w:rPr>
          <w:rFonts w:asciiTheme="majorHAnsi" w:hAnsiTheme="majorHAnsi"/>
          <w:sz w:val="22"/>
          <w:szCs w:val="22"/>
        </w:rPr>
        <w:t xml:space="preserve">, sans que</w:t>
      </w:r>
      <w:r>
        <w:rPr>
          <w:rFonts w:asciiTheme="majorHAnsi" w:hAnsiTheme="majorHAnsi"/>
          <w:sz w:val="22"/>
          <w:szCs w:val="22"/>
        </w:rPr>
        <w:t xml:space="preserve"> la responsabilité du RECIT </w:t>
      </w:r>
      <w:r>
        <w:rPr>
          <w:rFonts w:asciiTheme="majorHAnsi" w:hAnsiTheme="majorHAnsi"/>
          <w:sz w:val="22"/>
          <w:szCs w:val="22"/>
        </w:rPr>
        <w:t xml:space="preserve">ne puisse être recherchée. </w:t>
      </w:r>
      <w:r>
        <w:rPr>
          <w:rFonts w:asciiTheme="majorHAnsi" w:hAnsiTheme="majorHAnsi"/>
          <w:sz w:val="22"/>
          <w:szCs w:val="22"/>
        </w:rPr>
        <w:t xml:space="preserve">L’UTILISATEUR devra alors rembourser le matériel endommagé. Voir en annexe 1 la « police d’assurance ».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B4073BE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Il est entendu que tous dommages résultant d’une utilisation non conf</w:t>
      </w:r>
      <w:r>
        <w:rPr>
          <w:rFonts w:asciiTheme="majorHAnsi" w:hAnsiTheme="majorHAnsi"/>
          <w:sz w:val="22"/>
          <w:szCs w:val="22"/>
        </w:rPr>
        <w:t xml:space="preserve">orme du Matériel et non couverts par cette garantie pourront</w:t>
      </w:r>
      <w:r>
        <w:rPr>
          <w:rFonts w:asciiTheme="majorHAnsi" w:hAnsiTheme="majorHAnsi"/>
          <w:sz w:val="22"/>
          <w:szCs w:val="22"/>
        </w:rPr>
        <w:t xml:space="preserve"> entraîner la res</w:t>
      </w:r>
      <w:r>
        <w:rPr>
          <w:rFonts w:asciiTheme="majorHAnsi" w:hAnsiTheme="majorHAnsi"/>
          <w:sz w:val="22"/>
          <w:szCs w:val="22"/>
        </w:rPr>
        <w:t xml:space="preserve">ponsabilité de l’UTILISATEUR.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2A4F047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4CA2ACBB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6</w:t>
      </w:r>
      <w:r>
        <w:rPr>
          <w:rFonts w:asciiTheme="majorHAnsi" w:hAnsiTheme="majorHAnsi"/>
          <w:b/>
          <w:sz w:val="22"/>
          <w:szCs w:val="22"/>
        </w:rPr>
        <w:t xml:space="preserve"> : DATE D’EFFET ET DURÉE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17C97314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prend effet à compter de la date de </w:t>
      </w:r>
      <w:r>
        <w:rPr>
          <w:rFonts w:asciiTheme="majorHAnsi" w:hAnsiTheme="majorHAnsi"/>
          <w:sz w:val="22"/>
          <w:szCs w:val="22"/>
        </w:rPr>
        <w:t xml:space="preserve">début de prêt</w:t>
      </w:r>
      <w:r>
        <w:rPr>
          <w:rFonts w:asciiTheme="majorHAnsi" w:hAnsiTheme="majorHAnsi"/>
          <w:sz w:val="22"/>
          <w:szCs w:val="22"/>
        </w:rPr>
        <w:t xml:space="preserve">.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26508462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79F36D54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7</w:t>
      </w:r>
      <w:r>
        <w:rPr>
          <w:rFonts w:asciiTheme="majorHAnsi" w:hAnsiTheme="majorHAnsi"/>
          <w:b/>
          <w:sz w:val="22"/>
          <w:szCs w:val="22"/>
        </w:rPr>
        <w:t xml:space="preserve"> : RÉSILIATION 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0AB62588" w14:textId="77777777">
      <w:pPr>
        <w:pStyle w:val="1155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En cas d’inexécution par l’une ou l’autre des Parties de tout ou partie des obligations prévues par 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, </w:t>
      </w:r>
      <w:r>
        <w:rPr>
          <w:rFonts w:asciiTheme="majorHAnsi" w:hAnsiTheme="majorHAnsi"/>
          <w:sz w:val="22"/>
          <w:szCs w:val="22"/>
        </w:rPr>
        <w:t xml:space="preserve">celle</w:t>
      </w:r>
      <w:r>
        <w:rPr>
          <w:rFonts w:asciiTheme="majorHAnsi" w:hAnsiTheme="majorHAnsi"/>
          <w:sz w:val="22"/>
          <w:szCs w:val="22"/>
        </w:rPr>
        <w:t xml:space="preserve">-ci sera résilié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de plein droit aux torts exclusifs de la Partie défaillante.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08CA892F" w14:textId="77777777">
      <w:pPr>
        <w:pStyle w:val="1155"/>
        <w:pBdr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CFD7B15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ARTICLE </w:t>
      </w:r>
      <w:r>
        <w:rPr>
          <w:rFonts w:asciiTheme="majorHAnsi" w:hAnsiTheme="majorHAnsi"/>
          <w:b/>
          <w:sz w:val="22"/>
          <w:szCs w:val="22"/>
        </w:rPr>
        <w:t xml:space="preserve">8</w:t>
      </w:r>
      <w:r>
        <w:rPr>
          <w:rFonts w:asciiTheme="majorHAnsi" w:hAnsiTheme="majorHAnsi"/>
          <w:b/>
          <w:sz w:val="22"/>
          <w:szCs w:val="22"/>
        </w:rPr>
        <w:t xml:space="preserve"> : </w:t>
      </w:r>
      <w:r>
        <w:rPr>
          <w:rFonts w:asciiTheme="majorHAnsi" w:hAnsiTheme="majorHAnsi"/>
          <w:b/>
          <w:sz w:val="22"/>
          <w:szCs w:val="22"/>
        </w:rPr>
        <w:t xml:space="preserve">DIFFÉREND</w:t>
      </w:r>
      <w:r>
        <w:rPr>
          <w:rFonts w:asciiTheme="majorHAnsi" w:hAnsiTheme="majorHAnsi"/>
          <w:b/>
          <w:sz w:val="22"/>
          <w:szCs w:val="22"/>
        </w:rPr>
      </w:r>
      <w:r>
        <w:rPr>
          <w:rFonts w:asciiTheme="majorHAnsi" w:hAnsiTheme="majorHAnsi"/>
          <w:b/>
          <w:sz w:val="22"/>
          <w:szCs w:val="22"/>
        </w:rPr>
      </w:r>
    </w:p>
    <w:p w14:paraId="0367B883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Tout différend relatif à l’exécution ou à l’interprétation des termes d</w:t>
      </w:r>
      <w:r>
        <w:rPr>
          <w:rFonts w:asciiTheme="majorHAnsi" w:hAnsiTheme="majorHAnsi"/>
          <w:sz w:val="22"/>
          <w:szCs w:val="22"/>
        </w:rPr>
        <w:t xml:space="preserve">e la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 Conven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sera</w:t>
      </w:r>
      <w:r>
        <w:rPr>
          <w:rFonts w:asciiTheme="majorHAnsi" w:hAnsiTheme="majorHAnsi"/>
          <w:sz w:val="22"/>
          <w:szCs w:val="22"/>
        </w:rPr>
        <w:t xml:space="preserve"> réglé</w:t>
      </w:r>
      <w:r>
        <w:rPr>
          <w:rFonts w:asciiTheme="majorHAnsi" w:hAnsiTheme="majorHAnsi"/>
          <w:sz w:val="22"/>
          <w:szCs w:val="22"/>
        </w:rPr>
        <w:t xml:space="preserve"> par voie amiable. A défaut de résolution amiable, le litige sera porté devant les tribunaux compétents de </w:t>
      </w:r>
      <w:r>
        <w:rPr>
          <w:rFonts w:asciiTheme="majorHAnsi" w:hAnsiTheme="majorHAnsi"/>
          <w:sz w:val="22"/>
          <w:szCs w:val="22"/>
        </w:rPr>
        <w:t xml:space="preserve">Strasbourg.</w:t>
      </w:r>
      <w:r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3D1E31F0" w14:textId="77777777">
      <w:pPr>
        <w:pBdr/>
        <w:spacing/>
        <w:ind/>
        <w:contextualSpacing w:val="true"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</w:rPr>
        <w:t xml:space="preserve">L</w:t>
      </w:r>
      <w:r>
        <w:rPr>
          <w:rFonts w:asciiTheme="majorHAnsi" w:hAnsiTheme="majorHAnsi"/>
          <w:sz w:val="22"/>
          <w:szCs w:val="22"/>
        </w:rPr>
        <w:t xml:space="preserve">a</w:t>
      </w:r>
      <w:r>
        <w:rPr>
          <w:rFonts w:asciiTheme="majorHAnsi" w:hAnsiTheme="majorHAnsi"/>
          <w:sz w:val="22"/>
          <w:szCs w:val="22"/>
        </w:rPr>
        <w:t xml:space="preserve"> présent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Con</w:t>
      </w:r>
      <w:r>
        <w:rPr>
          <w:rFonts w:asciiTheme="majorHAnsi" w:hAnsiTheme="majorHAnsi"/>
          <w:sz w:val="22"/>
          <w:szCs w:val="22"/>
        </w:rPr>
        <w:t xml:space="preserve">ven</w:t>
      </w:r>
      <w:r>
        <w:rPr>
          <w:rFonts w:asciiTheme="majorHAnsi" w:hAnsiTheme="majorHAnsi"/>
          <w:sz w:val="22"/>
          <w:szCs w:val="22"/>
        </w:rPr>
        <w:t xml:space="preserve">t</w:t>
      </w:r>
      <w:r>
        <w:rPr>
          <w:rFonts w:asciiTheme="majorHAnsi" w:hAnsiTheme="majorHAnsi"/>
          <w:sz w:val="22"/>
          <w:szCs w:val="22"/>
        </w:rPr>
        <w:t xml:space="preserve">ion</w:t>
      </w:r>
      <w:r>
        <w:rPr>
          <w:rFonts w:asciiTheme="majorHAnsi" w:hAnsiTheme="majorHAnsi"/>
          <w:sz w:val="22"/>
          <w:szCs w:val="22"/>
        </w:rPr>
        <w:t xml:space="preserve"> est établi</w:t>
      </w:r>
      <w:r>
        <w:rPr>
          <w:rFonts w:asciiTheme="majorHAnsi" w:hAnsiTheme="majorHAnsi"/>
          <w:sz w:val="22"/>
          <w:szCs w:val="22"/>
        </w:rPr>
        <w:t xml:space="preserve">e</w:t>
      </w:r>
      <w:r>
        <w:rPr>
          <w:rFonts w:asciiTheme="majorHAnsi" w:hAnsiTheme="majorHAnsi"/>
          <w:sz w:val="22"/>
          <w:szCs w:val="22"/>
        </w:rPr>
        <w:t xml:space="preserve"> en 2 exemplaires originaux, chacune des Parties reconnaissant avoir reçu le sien.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4A6E8E71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i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Fait à </w:t>
      </w:r>
      <w:r>
        <w:rPr>
          <w:rFonts w:asciiTheme="majorHAnsi" w:hAnsiTheme="majorHAnsi"/>
          <w:sz w:val="22"/>
          <w:szCs w:val="22"/>
        </w:rPr>
        <w:t xml:space="preserve">Strasbourg</w:t>
      </w:r>
      <w:r>
        <w:rPr>
          <w:rFonts w:asciiTheme="majorHAnsi" w:hAnsiTheme="majorHAnsi"/>
          <w:sz w:val="22"/>
          <w:szCs w:val="22"/>
        </w:rPr>
        <w:t xml:space="preserve">, le </w:t>
      </w:r>
      <w:r>
        <w:rPr>
          <w:rFonts w:asciiTheme="majorHAnsi" w:hAnsiTheme="majorHAnsi"/>
          <w:i/>
          <w:sz w:val="22"/>
          <w:szCs w:val="22"/>
        </w:rPr>
      </w:r>
      <w:r>
        <w:rPr>
          <w:rFonts w:asciiTheme="majorHAnsi" w:hAnsiTheme="majorHAnsi"/>
          <w:i/>
          <w:sz w:val="22"/>
          <w:szCs w:val="22"/>
        </w:rPr>
      </w:r>
    </w:p>
    <w:p w14:paraId="0E5B5F1E" w14:textId="77777777">
      <w:pPr>
        <w:pStyle w:val="1155"/>
        <w:pBdr/>
        <w:spacing w:after="120"/>
        <w:ind w:right="290"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625CC21C" w14:textId="77777777">
      <w:pPr>
        <w:pStyle w:val="1155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/>
      <w:bookmarkStart w:id="0" w:name="_GoBack"/>
      <w:r/>
      <w:bookmarkEnd w:id="0"/>
      <w:r>
        <w:rPr>
          <w:rFonts w:asciiTheme="majorHAnsi" w:hAnsiTheme="majorHAnsi"/>
          <w:sz w:val="22"/>
          <w:szCs w:val="22"/>
        </w:rPr>
        <w:t xml:space="preserve">Pour </w:t>
      </w:r>
      <w:r>
        <w:rPr>
          <w:rFonts w:asciiTheme="majorHAnsi" w:hAnsiTheme="majorHAnsi"/>
          <w:sz w:val="22"/>
          <w:szCs w:val="22"/>
        </w:rPr>
        <w:t xml:space="preserve">le RECIT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  <w:highlight w:val="yellow"/>
        </w:rPr>
        <w:t xml:space="preserve">Pour L’UTILISATEUR</w:t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1B8F9F90" w14:textId="77777777">
      <w:pPr>
        <w:pStyle w:val="1155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  <w:r>
        <w:rPr>
          <w:rFonts w:asciiTheme="majorHAnsi" w:hAnsiTheme="majorHAnsi"/>
          <w:sz w:val="22"/>
          <w:szCs w:val="22"/>
        </w:rPr>
      </w:r>
    </w:p>
    <w:p w14:paraId="5E7D08F2" w14:textId="7B6AC785">
      <w:pPr>
        <w:pStyle w:val="1155"/>
        <w:pBdr/>
        <w:tabs>
          <w:tab w:val="left" w:leader="none" w:pos="6720"/>
        </w:tabs>
        <w:spacing w:after="120"/>
        <w:ind/>
        <w:contextualSpacing w:val="true"/>
        <w:jc w:val="both"/>
        <w:rPr>
          <w:rFonts w:eastAsia="Times New Roman"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br w:type="page" w:clear="all"/>
      </w:r>
      <w:r>
        <w:rPr>
          <w:rFonts w:eastAsia="Times New Roman" w:asciiTheme="majorHAnsi" w:hAnsiTheme="majorHAnsi"/>
          <w:color w:val="auto"/>
          <w:sz w:val="22"/>
          <w:szCs w:val="22"/>
        </w:rPr>
      </w:r>
      <w:r>
        <w:rPr>
          <w:rFonts w:eastAsia="Times New Roman" w:asciiTheme="majorHAnsi" w:hAnsiTheme="majorHAnsi"/>
          <w:color w:val="auto"/>
          <w:sz w:val="22"/>
          <w:szCs w:val="22"/>
        </w:rPr>
      </w:r>
    </w:p>
    <w:p w14:paraId="7DCD06F3" w14:textId="77777777">
      <w:pPr>
        <w:pBdr/>
        <w:spacing w:after="120" w:line="276" w:lineRule="auto"/>
        <w:ind/>
        <w:jc w:val="center"/>
        <w:rPr>
          <w:rFonts w:asciiTheme="majorHAnsi" w:hAnsiTheme="majorHAnsi"/>
          <w:b/>
          <w:sz w:val="28"/>
          <w:szCs w:val="28"/>
          <w:lang w:eastAsia="fr-FR"/>
        </w:rPr>
      </w:pPr>
      <w:r>
        <w:rPr>
          <w:rFonts w:asciiTheme="majorHAnsi" w:hAnsiTheme="majorHAnsi"/>
          <w:b/>
          <w:sz w:val="28"/>
          <w:szCs w:val="28"/>
          <w:lang w:eastAsia="fr-FR"/>
        </w:rPr>
        <w:t xml:space="preserve">ANNEXE 1</w:t>
      </w:r>
      <w:r>
        <w:rPr>
          <w:rFonts w:asciiTheme="majorHAnsi" w:hAnsiTheme="majorHAnsi"/>
          <w:b/>
          <w:sz w:val="28"/>
          <w:szCs w:val="28"/>
          <w:lang w:eastAsia="fr-FR"/>
        </w:rPr>
      </w:r>
      <w:r>
        <w:rPr>
          <w:rFonts w:asciiTheme="majorHAnsi" w:hAnsiTheme="majorHAnsi"/>
          <w:b/>
          <w:sz w:val="28"/>
          <w:szCs w:val="28"/>
          <w:lang w:eastAsia="fr-FR"/>
        </w:rPr>
      </w:r>
    </w:p>
    <w:p w14:paraId="3D908CB7" w14:textId="77777777">
      <w:pPr>
        <w:pBdr/>
        <w:spacing w:after="120" w:line="276" w:lineRule="auto"/>
        <w:ind/>
        <w:jc w:val="center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  <w:t xml:space="preserve">« POLICE D’ASSURANCE »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6D732CCF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768AE35A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1 – DÉFINITIONS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4940F219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ACCIDENT : tout événement soudain, imprévu et extérieur au bien endommagé, constituant la cause des dommages matériels.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5B949367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LIMITES TERRITORIALES : </w:t>
      </w:r>
      <w:r>
        <w:rPr>
          <w:rFonts w:asciiTheme="majorHAnsi" w:hAnsiTheme="majorHAnsi"/>
          <w:sz w:val="22"/>
          <w:szCs w:val="22"/>
          <w:lang w:eastAsia="fr-FR"/>
        </w:rPr>
        <w:t xml:space="preserve">France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6DE7CCF4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2 – OBJET DE LA GARANTIE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70AE941D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La </w:t>
      </w:r>
      <w:r>
        <w:rPr>
          <w:rFonts w:asciiTheme="majorHAnsi" w:hAnsiTheme="majorHAnsi"/>
          <w:sz w:val="22"/>
          <w:szCs w:val="22"/>
          <w:lang w:eastAsia="fr-FR"/>
        </w:rPr>
        <w:t xml:space="preserve">police d’assurance souscrite </w:t>
      </w:r>
      <w:r>
        <w:rPr>
          <w:rFonts w:asciiTheme="majorHAnsi" w:hAnsiTheme="majorHAnsi"/>
          <w:sz w:val="22"/>
          <w:szCs w:val="22"/>
          <w:lang w:eastAsia="fr-FR"/>
        </w:rPr>
        <w:t xml:space="preserve">a pour objet de garantir l'assuré contre tous risques de perte, bris ou destruction accidentels, subis par le matériel, que ce soit au repos, en activité et en cours ou à l'occasion d'un transport lorsqu'ils résultent de :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747516E4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chute, choc, heurt contre un corps fixe ou mobile,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4AFC1A7E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vol en tous lieux avec effraction,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449142BE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incendie, explosions, implosions, chute de la foudre,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13BA4D3D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action de l'électricité sans incendie,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6D31EB4F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action ou irruption de liquides de toute nature et de quelque origine qu'elle soit,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2F1D20D9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tempête, ouragan, trombe, cyclone,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0B81F515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gel,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13A3EEB7" w14:textId="77777777">
      <w:pPr>
        <w:pBdr/>
        <w:spacing w:line="276" w:lineRule="auto"/>
        <w:ind/>
        <w:jc w:val="both"/>
        <w:rPr>
          <w:rFonts w:asciiTheme="majorHAnsi" w:hAnsiTheme="majorHAnsi"/>
          <w:sz w:val="22"/>
          <w:szCs w:val="22"/>
          <w:lang w:eastAsia="fr-FR"/>
        </w:rPr>
      </w:pPr>
      <w:r>
        <w:rPr>
          <w:rFonts w:asciiTheme="majorHAnsi" w:hAnsiTheme="majorHAnsi"/>
          <w:sz w:val="22"/>
          <w:szCs w:val="22"/>
          <w:lang w:eastAsia="fr-FR"/>
        </w:rPr>
        <w:t xml:space="preserve">-</w:t>
      </w:r>
      <w:r>
        <w:rPr>
          <w:rFonts w:asciiTheme="majorHAnsi" w:hAnsiTheme="majorHAnsi"/>
          <w:sz w:val="22"/>
          <w:szCs w:val="22"/>
          <w:lang w:eastAsia="fr-FR"/>
        </w:rPr>
        <w:tab/>
        <w:t xml:space="preserve">acte de malveillance, sabotage ou de vandalisme commis par des préposés de l'assuré ou par des tiers, ou commis à l'occasion d'une grève, d'une émeute ou d'un mouvement populaire.</w:t>
      </w:r>
      <w:r>
        <w:rPr>
          <w:rFonts w:asciiTheme="majorHAnsi" w:hAnsiTheme="majorHAnsi"/>
          <w:sz w:val="22"/>
          <w:szCs w:val="22"/>
          <w:lang w:eastAsia="fr-FR"/>
        </w:rPr>
      </w:r>
      <w:r>
        <w:rPr>
          <w:rFonts w:asciiTheme="majorHAnsi" w:hAnsiTheme="majorHAnsi"/>
          <w:sz w:val="22"/>
          <w:szCs w:val="22"/>
          <w:lang w:eastAsia="fr-FR"/>
        </w:rPr>
      </w:r>
    </w:p>
    <w:p w14:paraId="13098BEB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3 – EXCLUSIONS</w:t>
      </w:r>
      <w:r>
        <w:rPr>
          <w:rFonts w:asciiTheme="majorHAnsi" w:hAnsiTheme="majorHAnsi"/>
          <w:sz w:val="20"/>
          <w:szCs w:val="20"/>
          <w:lang w:eastAsia="fr-FR"/>
        </w:rPr>
      </w:r>
      <w:r>
        <w:rPr>
          <w:rFonts w:asciiTheme="majorHAnsi" w:hAnsiTheme="majorHAnsi"/>
          <w:sz w:val="20"/>
          <w:szCs w:val="20"/>
          <w:lang w:eastAsia="fr-FR"/>
        </w:rPr>
      </w:r>
    </w:p>
    <w:p w14:paraId="70497B01" w14:textId="77777777">
      <w:pPr>
        <w:pBdr/>
        <w:spacing w:after="120"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SONT EXCLUS LES DOMMAGES :</w:t>
      </w:r>
      <w:r>
        <w:rPr>
          <w:rFonts w:asciiTheme="majorHAnsi" w:hAnsiTheme="majorHAnsi"/>
          <w:sz w:val="20"/>
          <w:szCs w:val="20"/>
          <w:lang w:eastAsia="fr-FR"/>
        </w:rPr>
      </w:r>
      <w:r>
        <w:rPr>
          <w:rFonts w:asciiTheme="majorHAnsi" w:hAnsiTheme="majorHAnsi"/>
          <w:sz w:val="20"/>
          <w:szCs w:val="20"/>
          <w:lang w:eastAsia="fr-FR"/>
        </w:rPr>
      </w:r>
    </w:p>
    <w:p w14:paraId="4E00BDE3" w14:textId="77777777">
      <w:pPr>
        <w:pBdr/>
        <w:spacing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-</w:t>
      </w:r>
      <w:r>
        <w:rPr>
          <w:rFonts w:asciiTheme="majorHAnsi" w:hAnsiTheme="majorHAnsi"/>
          <w:sz w:val="20"/>
          <w:szCs w:val="20"/>
          <w:lang w:eastAsia="fr-FR"/>
        </w:rPr>
        <w:tab/>
        <w:t xml:space="preserve">RESULTANT DE VICE PROPRE, DE CONDITIONS ANORMALES D'UTILISATION OU DE DEFAUT D'ENTRETIEN DU MATERIEL GARANTI,</w:t>
      </w:r>
      <w:r>
        <w:rPr>
          <w:rFonts w:asciiTheme="majorHAnsi" w:hAnsiTheme="majorHAnsi"/>
          <w:sz w:val="20"/>
          <w:szCs w:val="20"/>
          <w:lang w:eastAsia="fr-FR"/>
        </w:rPr>
      </w:r>
      <w:r>
        <w:rPr>
          <w:rFonts w:asciiTheme="majorHAnsi" w:hAnsiTheme="majorHAnsi"/>
          <w:sz w:val="20"/>
          <w:szCs w:val="20"/>
          <w:lang w:eastAsia="fr-FR"/>
        </w:rPr>
      </w:r>
    </w:p>
    <w:p w14:paraId="0D81964B" w14:textId="77777777">
      <w:pPr>
        <w:pBdr/>
        <w:spacing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-</w:t>
      </w:r>
      <w:r>
        <w:rPr>
          <w:rFonts w:asciiTheme="majorHAnsi" w:hAnsiTheme="majorHAnsi"/>
          <w:sz w:val="20"/>
          <w:szCs w:val="20"/>
          <w:lang w:eastAsia="fr-FR"/>
        </w:rPr>
        <w:tab/>
        <w:t xml:space="preserve">SUBIS PAR LES PIECES NECESSITANT UN REMPLACEMENT PERIODIQUE, SAUF SI CES DOMMAGES SONT LA CONSEQUENCE D'UN SINISTRE ATTEIGNANT LE MATERIEL DANS SON ENSEMBLE,</w:t>
      </w:r>
      <w:r>
        <w:rPr>
          <w:rFonts w:asciiTheme="majorHAnsi" w:hAnsiTheme="majorHAnsi"/>
          <w:sz w:val="20"/>
          <w:szCs w:val="20"/>
          <w:lang w:eastAsia="fr-FR"/>
        </w:rPr>
      </w:r>
      <w:r>
        <w:rPr>
          <w:rFonts w:asciiTheme="majorHAnsi" w:hAnsiTheme="majorHAnsi"/>
          <w:sz w:val="20"/>
          <w:szCs w:val="20"/>
          <w:lang w:eastAsia="fr-FR"/>
        </w:rPr>
      </w:r>
    </w:p>
    <w:p w14:paraId="3F6F7325" w14:textId="77777777">
      <w:pPr>
        <w:pBdr/>
        <w:spacing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-</w:t>
      </w:r>
      <w:r>
        <w:rPr>
          <w:rFonts w:asciiTheme="majorHAnsi" w:hAnsiTheme="majorHAnsi"/>
          <w:sz w:val="20"/>
          <w:szCs w:val="20"/>
          <w:lang w:eastAsia="fr-FR"/>
        </w:rPr>
        <w:tab/>
        <w:t xml:space="preserve">DUS A L'USURE, LA DETERIORATION PROGRESSIVE, LA ROUILLE, LA CORROSION, AUX RAYURES SUR DES SURFACES PEINTES OU POLIES, A L'HUMIDITE ET A LA CONDENSATION,</w:t>
      </w:r>
      <w:r>
        <w:rPr>
          <w:rFonts w:asciiTheme="majorHAnsi" w:hAnsiTheme="majorHAnsi"/>
          <w:sz w:val="20"/>
          <w:szCs w:val="20"/>
          <w:lang w:eastAsia="fr-FR"/>
        </w:rPr>
      </w:r>
      <w:r>
        <w:rPr>
          <w:rFonts w:asciiTheme="majorHAnsi" w:hAnsiTheme="majorHAnsi"/>
          <w:sz w:val="20"/>
          <w:szCs w:val="20"/>
          <w:lang w:eastAsia="fr-FR"/>
        </w:rPr>
      </w:r>
    </w:p>
    <w:p w14:paraId="31A11940" w14:textId="77777777">
      <w:pPr>
        <w:pBdr/>
        <w:spacing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-</w:t>
      </w:r>
      <w:r>
        <w:rPr>
          <w:rFonts w:asciiTheme="majorHAnsi" w:hAnsiTheme="majorHAnsi"/>
          <w:sz w:val="20"/>
          <w:szCs w:val="20"/>
          <w:lang w:eastAsia="fr-FR"/>
        </w:rPr>
        <w:tab/>
        <w:t xml:space="preserve">DE TAGS OU GRAFFITIS,</w:t>
      </w:r>
      <w:r>
        <w:rPr>
          <w:rFonts w:asciiTheme="majorHAnsi" w:hAnsiTheme="majorHAnsi"/>
          <w:sz w:val="20"/>
          <w:szCs w:val="20"/>
          <w:lang w:eastAsia="fr-FR"/>
        </w:rPr>
      </w:r>
      <w:r>
        <w:rPr>
          <w:rFonts w:asciiTheme="majorHAnsi" w:hAnsiTheme="majorHAnsi"/>
          <w:sz w:val="20"/>
          <w:szCs w:val="20"/>
          <w:lang w:eastAsia="fr-FR"/>
        </w:rPr>
      </w:r>
    </w:p>
    <w:p w14:paraId="0C5278AE" w14:textId="77777777">
      <w:pPr>
        <w:pBdr/>
        <w:spacing w:line="276" w:lineRule="auto"/>
        <w:ind/>
        <w:jc w:val="both"/>
        <w:rPr>
          <w:rFonts w:asciiTheme="majorHAnsi" w:hAnsiTheme="majorHAnsi"/>
          <w:sz w:val="20"/>
          <w:szCs w:val="20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-</w:t>
      </w:r>
      <w:r>
        <w:rPr>
          <w:rFonts w:asciiTheme="majorHAnsi" w:hAnsiTheme="majorHAnsi"/>
          <w:sz w:val="20"/>
          <w:szCs w:val="20"/>
          <w:lang w:eastAsia="fr-FR"/>
        </w:rPr>
        <w:tab/>
        <w:t xml:space="preserve">RESULTANT D'INCIDENTS D'EXPLOITATION A LA SUITE NOTAMMENT DE GRIPPAGE, DEREGLAGE, VIBRATION, SURVITESSE, FORCE CENTRIFUGE,</w:t>
      </w:r>
      <w:r>
        <w:rPr>
          <w:rFonts w:asciiTheme="majorHAnsi" w:hAnsiTheme="majorHAnsi"/>
          <w:sz w:val="20"/>
          <w:szCs w:val="20"/>
          <w:lang w:eastAsia="fr-FR"/>
        </w:rPr>
      </w:r>
      <w:r>
        <w:rPr>
          <w:rFonts w:asciiTheme="majorHAnsi" w:hAnsiTheme="majorHAnsi"/>
          <w:sz w:val="20"/>
          <w:szCs w:val="20"/>
          <w:lang w:eastAsia="fr-FR"/>
        </w:rPr>
      </w:r>
    </w:p>
    <w:p w14:paraId="52EC692D" w14:textId="77777777">
      <w:pPr>
        <w:pBdr/>
        <w:spacing w:line="276" w:lineRule="auto"/>
        <w:ind/>
        <w:jc w:val="both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sz w:val="20"/>
          <w:szCs w:val="20"/>
          <w:lang w:eastAsia="fr-FR"/>
        </w:rPr>
        <w:t xml:space="preserve">-</w:t>
      </w:r>
      <w:r>
        <w:rPr>
          <w:rFonts w:asciiTheme="majorHAnsi" w:hAnsiTheme="majorHAnsi"/>
          <w:sz w:val="20"/>
          <w:szCs w:val="20"/>
          <w:lang w:eastAsia="fr-FR"/>
        </w:rPr>
        <w:tab/>
        <w:t xml:space="preserve">AUX APPAREILS LAISSES LA NUIT DE 22H A 6H DANS LES VEHICULES STATIONNANT HORS LOCAUX FERMES A CLE OU DE JOUR DANS LES VEHICULES NON FERMES A CLE.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528BC581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5724BDC1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5F14C8D7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3B69D299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65C10009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382B4BE9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700C0009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176A43AC" w14:textId="77777777">
      <w:pPr>
        <w:pBdr/>
        <w:spacing/>
        <w:ind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009FC3B3" w14:textId="77777777">
      <w:pPr>
        <w:pBdr/>
        <w:spacing/>
        <w:ind/>
        <w:rPr>
          <w:rFonts w:asciiTheme="majorHAnsi" w:hAnsiTheme="majorHAnsi"/>
          <w:b/>
          <w:sz w:val="28"/>
          <w:szCs w:val="28"/>
          <w:lang w:eastAsia="fr-FR"/>
        </w:rPr>
      </w:pPr>
      <w:r>
        <w:rPr>
          <w:rFonts w:asciiTheme="majorHAnsi" w:hAnsiTheme="majorHAnsi"/>
          <w:b/>
          <w:sz w:val="28"/>
          <w:szCs w:val="28"/>
          <w:lang w:eastAsia="fr-FR"/>
        </w:rPr>
      </w:r>
      <w:r>
        <w:rPr>
          <w:rFonts w:asciiTheme="majorHAnsi" w:hAnsiTheme="majorHAnsi"/>
          <w:b/>
          <w:sz w:val="28"/>
          <w:szCs w:val="28"/>
          <w:lang w:eastAsia="fr-FR"/>
        </w:rPr>
      </w:r>
      <w:r>
        <w:rPr>
          <w:rFonts w:asciiTheme="majorHAnsi" w:hAnsiTheme="majorHAnsi"/>
          <w:b/>
          <w:sz w:val="28"/>
          <w:szCs w:val="28"/>
          <w:lang w:eastAsia="fr-FR"/>
        </w:rPr>
      </w:r>
    </w:p>
    <w:p w14:paraId="3790716D" w14:textId="77777777">
      <w:pPr>
        <w:pBdr/>
        <w:spacing w:line="276" w:lineRule="auto"/>
        <w:ind/>
        <w:jc w:val="center"/>
        <w:rPr>
          <w:rFonts w:asciiTheme="majorHAnsi" w:hAnsiTheme="majorHAnsi"/>
          <w:b/>
          <w:sz w:val="22"/>
          <w:szCs w:val="22"/>
          <w:lang w:eastAsia="fr-FR"/>
        </w:rPr>
      </w:pPr>
      <w:r>
        <w:rPr>
          <w:rFonts w:asciiTheme="majorHAnsi" w:hAnsiTheme="majorHAnsi"/>
          <w:b/>
          <w:sz w:val="28"/>
          <w:szCs w:val="28"/>
          <w:lang w:eastAsia="fr-FR"/>
        </w:rPr>
        <w:t xml:space="preserve">ANNEXE 2</w:t>
      </w:r>
      <w:r>
        <w:rPr>
          <w:rFonts w:asciiTheme="majorHAnsi" w:hAnsiTheme="majorHAnsi"/>
          <w:b/>
          <w:sz w:val="22"/>
          <w:szCs w:val="22"/>
          <w:lang w:eastAsia="fr-FR"/>
        </w:rPr>
      </w:r>
      <w:r>
        <w:rPr>
          <w:rFonts w:asciiTheme="majorHAnsi" w:hAnsiTheme="majorHAnsi"/>
          <w:b/>
          <w:sz w:val="22"/>
          <w:szCs w:val="22"/>
          <w:lang w:eastAsia="fr-FR"/>
        </w:rPr>
      </w:r>
    </w:p>
    <w:p w14:paraId="6E5711FC" w14:textId="77777777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3B5C340C" w14:textId="77777777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DETAIL DU MATERIEL</w:t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5B4574D8" w14:textId="77777777">
      <w:pPr>
        <w:pBdr/>
        <w:spacing/>
        <w:ind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0C2357F6" w14:textId="77777777">
      <w:pPr>
        <w:pBdr/>
        <w:spacing/>
        <w:ind/>
        <w:rPr>
          <w:rFonts w:asciiTheme="majorHAnsi" w:hAnsiTheme="majorHAnsi"/>
        </w:rPr>
      </w:pPr>
      <w:r>
        <w:rPr>
          <w:rFonts w:asciiTheme="majorHAnsi" w:hAnsiTheme="majorHAnsi"/>
        </w:rPr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42F2391B" w14:textId="77777777">
      <w:pPr>
        <w:pStyle w:val="1164"/>
        <w:numPr>
          <w:ilvl w:val="0"/>
          <w:numId w:val="2"/>
        </w:numPr>
        <w:pBdr/>
        <w:spacing/>
        <w:ind/>
        <w:rPr>
          <w:rFonts w:asciiTheme="majorHAnsi" w:hAnsiTheme="majorHAnsi"/>
        </w:rPr>
      </w:pPr>
      <w:r>
        <w:rPr>
          <w:rFonts w:asciiTheme="majorHAnsi" w:hAnsiTheme="majorHAnsi"/>
        </w:rPr>
        <w:t xml:space="preserve">Cinq tablettes numériques, Samsung Galaxy Tab A 6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/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Blackview</w:t>
      </w:r>
      <w:r>
        <w:rPr>
          <w:rFonts w:asciiTheme="majorHAnsi" w:hAnsiTheme="majorHAnsi"/>
        </w:rPr>
        <w:t xml:space="preserve"> Tab A 8</w:t>
      </w:r>
      <w:r>
        <w:rPr>
          <w:rFonts w:asciiTheme="majorHAnsi" w:hAnsiTheme="majorHAnsi"/>
        </w:rPr>
        <w:t xml:space="preserve">, </w:t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5EE7E44D" w14:textId="682DEFBB">
      <w:pPr>
        <w:pStyle w:val="1164"/>
        <w:numPr>
          <w:ilvl w:val="0"/>
          <w:numId w:val="2"/>
        </w:numPr>
        <w:pBdr/>
        <w:spacing/>
        <w:ind/>
        <w:rPr>
          <w:rFonts w:asciiTheme="majorHAnsi" w:hAnsiTheme="majorHAnsi"/>
        </w:rPr>
      </w:pPr>
      <w:r>
        <w:rPr>
          <w:rFonts w:asciiTheme="majorHAnsi" w:hAnsiTheme="majorHAnsi"/>
        </w:rPr>
        <w:t xml:space="preserve">5</w:t>
      </w:r>
      <w:r>
        <w:rPr>
          <w:rFonts w:asciiTheme="majorHAnsi" w:hAnsiTheme="majorHAnsi"/>
        </w:rPr>
        <w:t xml:space="preserve"> chargeur</w:t>
      </w:r>
      <w:r>
        <w:rPr>
          <w:rFonts w:asciiTheme="majorHAnsi" w:hAnsiTheme="majorHAnsi"/>
        </w:rPr>
        <w:t xml:space="preserve">s</w:t>
      </w:r>
      <w:r>
        <w:rPr>
          <w:rFonts w:asciiTheme="majorHAnsi" w:hAnsiTheme="majorHAnsi"/>
        </w:rPr>
        <w:t xml:space="preserve">, </w:t>
      </w:r>
      <w:r>
        <w:rPr>
          <w:rFonts w:asciiTheme="majorHAnsi" w:hAnsiTheme="majorHAnsi"/>
        </w:rPr>
        <w:t xml:space="preserve">5 </w:t>
      </w:r>
      <w:r>
        <w:rPr>
          <w:rFonts w:asciiTheme="majorHAnsi" w:hAnsiTheme="majorHAnsi"/>
        </w:rPr>
        <w:t xml:space="preserve">câble</w:t>
      </w:r>
      <w:r>
        <w:rPr>
          <w:rFonts w:asciiTheme="majorHAnsi" w:hAnsiTheme="majorHAnsi"/>
        </w:rPr>
        <w:t xml:space="preserve">s</w:t>
      </w:r>
      <w:r>
        <w:rPr>
          <w:rFonts w:asciiTheme="majorHAnsi" w:hAnsiTheme="majorHAnsi"/>
        </w:rPr>
        <w:t xml:space="preserve"> USB et </w:t>
      </w:r>
      <w:r>
        <w:rPr>
          <w:rFonts w:asciiTheme="majorHAnsi" w:hAnsiTheme="majorHAnsi"/>
        </w:rPr>
        <w:t xml:space="preserve"> 5 </w:t>
      </w:r>
      <w:r>
        <w:rPr>
          <w:rFonts w:asciiTheme="majorHAnsi" w:hAnsiTheme="majorHAnsi"/>
        </w:rPr>
        <w:t xml:space="preserve">écouteurs, </w:t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664B40F7" w14:textId="71564559">
      <w:pPr>
        <w:pStyle w:val="1164"/>
        <w:numPr>
          <w:ilvl w:val="0"/>
          <w:numId w:val="2"/>
        </w:numPr>
        <w:pBdr/>
        <w:spacing/>
        <w:ind/>
        <w:rPr>
          <w:rFonts w:asciiTheme="majorHAnsi" w:hAnsiTheme="majorHAnsi"/>
        </w:rPr>
      </w:pPr>
      <w:r>
        <w:rPr>
          <w:rFonts w:asciiTheme="majorHAnsi" w:hAnsiTheme="majorHAnsi"/>
        </w:rPr>
        <w:t xml:space="preserve">C</w:t>
      </w:r>
      <w:r>
        <w:rPr>
          <w:rFonts w:asciiTheme="majorHAnsi" w:hAnsiTheme="majorHAnsi"/>
        </w:rPr>
        <w:t xml:space="preserve">haque tablette est rangée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da</w:t>
      </w:r>
      <w:r>
        <w:rPr>
          <w:rFonts w:asciiTheme="majorHAnsi" w:hAnsiTheme="majorHAnsi"/>
        </w:rPr>
        <w:t xml:space="preserve">ns </w:t>
      </w:r>
      <w:r>
        <w:rPr>
          <w:rFonts w:asciiTheme="majorHAnsi" w:hAnsiTheme="majorHAnsi"/>
        </w:rPr>
        <w:t xml:space="preserve">une mallette de transport.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</w:r>
      <w:r>
        <w:rPr>
          <w:rFonts w:asciiTheme="majorHAnsi" w:hAnsiTheme="majorHAnsi"/>
        </w:rPr>
      </w:r>
    </w:p>
    <w:p w14:paraId="12A05D0F" w14:textId="0218C77E">
      <w:pPr>
        <w:pStyle w:val="1164"/>
        <w:numPr>
          <w:ilvl w:val="0"/>
          <w:numId w:val="2"/>
        </w:numPr>
        <w:pBdr/>
        <w:spacing/>
        <w:ind/>
        <w:rPr>
          <w:rFonts w:eastAsia="Times New Roman"/>
        </w:rPr>
      </w:pPr>
      <w:r>
        <w:rPr>
          <w:rFonts w:asciiTheme="majorHAnsi" w:hAnsiTheme="majorHAnsi"/>
        </w:rPr>
        <w:t xml:space="preserve">5 supports articulés</w:t>
      </w:r>
      <w:r>
        <w:rPr>
          <w:rFonts w:asciiTheme="majorHAnsi" w:hAnsiTheme="majorHAnsi"/>
        </w:rPr>
        <w:t xml:space="preserve"> à fixer sur un bord de tablette sont mis à disposition sur demande.</w:t>
      </w:r>
      <w:r>
        <w:rPr>
          <w:rFonts w:eastAsia="Times New Roman"/>
        </w:rPr>
      </w:r>
      <w:r>
        <w:rPr>
          <w:rFonts w:eastAsia="Times New Roman"/>
        </w:rPr>
      </w:r>
    </w:p>
    <w:sectPr>
      <w:headerReference w:type="default" r:id="rId9"/>
      <w:headerReference w:type="even" r:id="rId10"/>
      <w:footerReference w:type="default" r:id="rId11"/>
      <w:footerReference w:type="even" r:id="rId12"/>
      <w:footnotePr/>
      <w:endnotePr/>
      <w:type w:val="nextPage"/>
      <w:pgSz w:h="16840" w:orient="portrait" w:w="11900"/>
      <w:pgMar w:top="1417" w:right="1417" w:bottom="1417" w:left="1417" w:header="567" w:footer="85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004C0B36" w14:textId="77777777">
      <w:pPr>
        <w:pBdr/>
        <w:spacing/>
        <w:ind/>
        <w:rPr/>
      </w:pPr>
      <w:r>
        <w:separator/>
      </w:r>
      <w:r/>
    </w:p>
  </w:endnote>
  <w:endnote w:type="continuationSeparator" w:id="0">
    <w:p w14:paraId="1AB0E21F" w14:textId="77777777"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ple Symbols">
    <w:panose1 w:val="02000503050000020004"/>
  </w:font>
  <w:font w:name="Carlito">
    <w:panose1 w:val="020F0502020204030204"/>
  </w:font>
  <w:font w:name="Walkway Black">
    <w:panose1 w:val="020005030500000200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Lucida Grande">
    <w:panose1 w:val="02000503050000020004"/>
  </w:font>
  <w:font w:name="Walkway Bold">
    <w:panose1 w:val="02000503050000020004"/>
  </w:font>
  <w:font w:name="Helvetica">
    <w:panose1 w:val="020B0604020202020204"/>
  </w:font>
  <w:font w:name="Calibri">
    <w:panose1 w:val="020F0502020204030204"/>
  </w:font>
  <w:font w:name="ヒラギノ角ゴ Pro W3">
    <w:panose1 w:val="020005030500000200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B87AFA1" w14:textId="77777777">
    <w:pPr>
      <w:pStyle w:val="1156"/>
      <w:framePr w:hAnchor="margin" w:vAnchor="text" w:wrap="around" w:xAlign="right" w:y="1"/>
      <w:pBdr/>
      <w:spacing/>
      <w:ind/>
      <w:rPr>
        <w:rStyle w:val="1158"/>
        <w:rFonts w:asciiTheme="majorHAnsi" w:hAnsiTheme="majorHAnsi"/>
        <w:sz w:val="20"/>
        <w:szCs w:val="20"/>
      </w:rPr>
    </w:pPr>
    <w:r>
      <w:rPr>
        <w:rStyle w:val="1158"/>
        <w:rFonts w:asciiTheme="majorHAnsi" w:hAnsiTheme="majorHAnsi"/>
        <w:sz w:val="20"/>
        <w:szCs w:val="20"/>
      </w:rPr>
      <w:fldChar w:fldCharType="begin"/>
    </w:r>
    <w:r>
      <w:rPr>
        <w:rStyle w:val="1158"/>
        <w:rFonts w:asciiTheme="majorHAnsi" w:hAnsiTheme="majorHAnsi"/>
        <w:sz w:val="20"/>
        <w:szCs w:val="20"/>
      </w:rPr>
      <w:instrText xml:space="preserve">PAGE  </w:instrText>
    </w:r>
    <w:r>
      <w:rPr>
        <w:rStyle w:val="1158"/>
        <w:rFonts w:asciiTheme="majorHAnsi" w:hAnsiTheme="majorHAnsi"/>
        <w:sz w:val="20"/>
        <w:szCs w:val="20"/>
      </w:rPr>
      <w:fldChar w:fldCharType="separate"/>
    </w:r>
    <w:r>
      <w:rPr>
        <w:rStyle w:val="1158"/>
        <w:rFonts w:asciiTheme="majorHAnsi" w:hAnsiTheme="majorHAnsi"/>
        <w:sz w:val="20"/>
        <w:szCs w:val="20"/>
      </w:rPr>
      <w:t xml:space="preserve">1</w:t>
    </w:r>
    <w:r>
      <w:rPr>
        <w:rStyle w:val="1158"/>
        <w:rFonts w:asciiTheme="majorHAnsi" w:hAnsiTheme="majorHAnsi"/>
        <w:sz w:val="20"/>
        <w:szCs w:val="20"/>
      </w:rPr>
      <w:fldChar w:fldCharType="end"/>
    </w:r>
    <w:r>
      <w:rPr>
        <w:rStyle w:val="1158"/>
        <w:rFonts w:asciiTheme="majorHAnsi" w:hAnsiTheme="majorHAnsi"/>
        <w:sz w:val="20"/>
        <w:szCs w:val="20"/>
      </w:rPr>
    </w:r>
    <w:r>
      <w:rPr>
        <w:rStyle w:val="1158"/>
        <w:rFonts w:asciiTheme="majorHAnsi" w:hAnsiTheme="majorHAnsi"/>
        <w:sz w:val="20"/>
        <w:szCs w:val="20"/>
      </w:rPr>
    </w:r>
  </w:p>
  <w:p w14:paraId="5F698DA0" w14:textId="77777777">
    <w:pPr>
      <w:pStyle w:val="1156"/>
      <w:pBdr/>
      <w:spacing/>
      <w:ind w:right="360"/>
      <w:jc w:val="center"/>
      <w:rPr>
        <w:rFonts w:ascii="Carlito" w:hAnsi="Carlito" w:cs="Carlito"/>
        <w:color w:val="404040" w:themeColor="text1" w:themeTint="BF"/>
        <w:sz w:val="20"/>
        <w:szCs w:val="20"/>
      </w:rPr>
    </w:pPr>
    <w:r>
      <w:rPr>
        <w:rFonts w:ascii="Carlito" w:hAnsi="Carlito" w:eastAsia="Carlito" w:cs="Carlito"/>
        <w:color w:val="404040" w:themeColor="text1" w:themeTint="BF"/>
        <w:sz w:val="20"/>
        <w:szCs w:val="20"/>
      </w:rPr>
      <w:t xml:space="preserve">Convention d’emprunt 2026-2027</w:t>
    </w:r>
    <w:r>
      <w:rPr>
        <w:rFonts w:ascii="Carlito" w:hAnsi="Carlito" w:eastAsia="Carlito" w:cs="Carlito"/>
        <w:color w:val="404040" w:themeColor="text1" w:themeTint="BF"/>
        <w:sz w:val="20"/>
        <w:szCs w:val="20"/>
      </w:rPr>
    </w:r>
    <w:r>
      <w:rPr>
        <w:rFonts w:ascii="Carlito" w:hAnsi="Carlito" w:cs="Carlito"/>
        <w:color w:val="404040" w:themeColor="text1" w:themeTint="BF"/>
        <w:sz w:val="20"/>
        <w:szCs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0810F08" w14:textId="77777777">
    <w:pPr>
      <w:pStyle w:val="1156"/>
      <w:framePr w:hAnchor="margin" w:vAnchor="text" w:wrap="around" w:xAlign="right" w:y="1"/>
      <w:pBdr/>
      <w:spacing/>
      <w:ind/>
      <w:rPr>
        <w:rStyle w:val="1158"/>
      </w:rPr>
    </w:pPr>
    <w:r>
      <w:rPr>
        <w:rStyle w:val="1158"/>
      </w:rPr>
      <w:fldChar w:fldCharType="begin"/>
    </w:r>
    <w:r>
      <w:rPr>
        <w:rStyle w:val="1158"/>
      </w:rPr>
      <w:instrText xml:space="preserve">PAGE  </w:instrText>
    </w:r>
    <w:r>
      <w:rPr>
        <w:rStyle w:val="1158"/>
      </w:rPr>
      <w:fldChar w:fldCharType="end"/>
    </w:r>
    <w:r>
      <w:rPr>
        <w:rStyle w:val="1158"/>
      </w:rPr>
    </w:r>
    <w:r>
      <w:rPr>
        <w:rStyle w:val="1158"/>
      </w:rPr>
    </w:r>
  </w:p>
  <w:p w14:paraId="222A9507" w14:textId="77777777">
    <w:pPr>
      <w:pStyle w:val="1153"/>
      <w:pBdr/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</w:tabs>
      <w:spacing/>
      <w:ind w:right="360"/>
      <w:rPr>
        <w:rFonts w:ascii="Walkway Bold" w:hAnsi="Walkway Bold"/>
        <w:color w:val="a6a6a6"/>
        <w:sz w:val="16"/>
      </w:rPr>
    </w:pPr>
    <w:r>
      <w:rPr>
        <w:rFonts w:ascii="Walkway Bold" w:hAnsi="Walkway Bold"/>
        <w:color w:val="a6a6a6"/>
        <w:sz w:val="16"/>
      </w:rPr>
      <w:t xml:space="preserve">ORAVEO Sarl au capital de 5 000 € - 524 055 191 RCS Lyon</w:t>
    </w:r>
    <w:r>
      <w:rPr>
        <w:rFonts w:ascii="Walkway Bold" w:hAnsi="Walkway Bold"/>
        <w:color w:val="a6a6a6"/>
        <w:sz w:val="16"/>
      </w:rPr>
    </w:r>
    <w:r>
      <w:rPr>
        <w:rFonts w:ascii="Walkway Bold" w:hAnsi="Walkway Bold"/>
        <w:color w:val="a6a6a6"/>
        <w:sz w:val="16"/>
      </w:rPr>
    </w:r>
  </w:p>
  <w:p w14:paraId="56A3EF67" w14:textId="77777777">
    <w:pPr>
      <w:pStyle w:val="1153"/>
      <w:pBdr/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</w:tabs>
      <w:spacing/>
      <w:ind/>
      <w:rPr>
        <w:rFonts w:ascii="Walkway Bold" w:hAnsi="Walkway Bold"/>
        <w:color w:val="a6a6a6"/>
        <w:sz w:val="16"/>
      </w:rPr>
    </w:pPr>
    <w:r>
      <w:rPr>
        <w:rFonts w:ascii="Walkway Bold" w:hAnsi="Walkway Bold"/>
        <w:color w:val="a6a6a6"/>
        <w:sz w:val="16"/>
      </w:rPr>
      <w:t xml:space="preserve">15, rue de BREST – 69002 Lyon – France</w:t>
    </w:r>
    <w:r>
      <w:rPr>
        <w:rFonts w:ascii="Walkway Bold" w:hAnsi="Walkway Bold"/>
        <w:color w:val="a6a6a6"/>
        <w:sz w:val="16"/>
      </w:rPr>
      <w:t xml:space="preserve"> - </w:t>
    </w:r>
    <w:hyperlink r:id="rId1" w:tooltip="mailto:contact@oraveo.com" w:history="1">
      <w:r>
        <w:rPr>
          <w:rStyle w:val="1154"/>
          <w:rFonts w:ascii="Walkway Bold" w:hAnsi="Walkway Bold"/>
          <w:color w:val="a6a6a6"/>
          <w:sz w:val="16"/>
        </w:rPr>
        <w:t xml:space="preserve">contact@oraveo.com</w:t>
      </w:r>
    </w:hyperlink>
    <w:r>
      <w:rPr>
        <w:rFonts w:ascii="Walkway Bold" w:hAnsi="Walkway Bold"/>
        <w:color w:val="a6a6a6"/>
        <w:sz w:val="16"/>
      </w:rPr>
      <w:t xml:space="preserve"> - </w:t>
    </w:r>
    <w:hyperlink r:id="rId2" w:tooltip="http://www.oraveo.com" w:history="1">
      <w:r>
        <w:rPr>
          <w:rStyle w:val="1154"/>
          <w:rFonts w:ascii="Walkway Bold" w:hAnsi="Walkway Bold"/>
          <w:color w:val="a6a6a6"/>
          <w:sz w:val="16"/>
        </w:rPr>
        <w:t xml:space="preserve">www.oraveo.com</w:t>
      </w:r>
    </w:hyperlink>
    <w:r>
      <w:rPr>
        <w:rFonts w:ascii="Walkway Bold" w:hAnsi="Walkway Bold"/>
        <w:color w:val="a6a6a6"/>
        <w:sz w:val="16"/>
      </w:rPr>
      <w:t xml:space="preserve"> </w:t>
    </w:r>
    <w:r>
      <w:rPr>
        <w:rFonts w:ascii="Walkway Bold" w:hAnsi="Walkway Bold"/>
        <w:color w:val="a6a6a6"/>
        <w:sz w:val="16"/>
      </w:rPr>
    </w:r>
    <w:r>
      <w:rPr>
        <w:rFonts w:ascii="Walkway Bold" w:hAnsi="Walkway Bold"/>
        <w:color w:val="a6a6a6"/>
        <w:sz w:val="16"/>
      </w:rPr>
    </w:r>
  </w:p>
  <w:p w14:paraId="6A2435A8" w14:textId="77777777">
    <w:pPr>
      <w:pStyle w:val="1153"/>
      <w:pBdr/>
      <w:tabs>
        <w:tab w:val="left" w:leader="none" w:pos="708"/>
        <w:tab w:val="left" w:leader="none" w:pos="1416"/>
        <w:tab w:val="left" w:leader="none" w:pos="2124"/>
        <w:tab w:val="left" w:leader="none" w:pos="2832"/>
        <w:tab w:val="left" w:leader="none" w:pos="3540"/>
        <w:tab w:val="left" w:leader="none" w:pos="4248"/>
        <w:tab w:val="left" w:leader="none" w:pos="4956"/>
        <w:tab w:val="left" w:leader="none" w:pos="5664"/>
        <w:tab w:val="left" w:leader="none" w:pos="6372"/>
        <w:tab w:val="left" w:leader="none" w:pos="7080"/>
        <w:tab w:val="left" w:leader="none" w:pos="7788"/>
        <w:tab w:val="left" w:leader="none" w:pos="8496"/>
        <w:tab w:val="left" w:leader="none" w:pos="9204"/>
      </w:tabs>
      <w:spacing/>
      <w:ind/>
      <w:rPr>
        <w:rFonts w:eastAsia="Times New Roman"/>
        <w:color w:val="auto"/>
      </w:rPr>
    </w:pPr>
    <w:r>
      <w:rPr>
        <w:rFonts w:eastAsia="Times New Roman"/>
        <w:color w:val="auto"/>
      </w:rPr>
    </w:r>
    <w:r>
      <w:rPr>
        <w:rFonts w:eastAsia="Times New Roman"/>
        <w:color w:val="auto"/>
      </w:rPr>
    </w:r>
    <w:r>
      <w:rPr>
        <w:rFonts w:eastAsia="Times New Roman"/>
        <w:color w:val="auto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2D1ED314" w14:textId="77777777">
      <w:pPr>
        <w:pBdr/>
        <w:spacing/>
        <w:ind/>
        <w:rPr/>
      </w:pPr>
      <w:r>
        <w:separator/>
      </w:r>
      <w:r/>
    </w:p>
  </w:footnote>
  <w:footnote w:type="continuationSeparator" w:id="0">
    <w:p w14:paraId="6584E32B" w14:textId="77777777"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8FB2883" w14:textId="77777777">
    <w:pPr>
      <w:pStyle w:val="1159"/>
      <w:pBdr/>
      <w:spacing/>
      <w:ind/>
      <w:jc w:val="right"/>
      <w:rPr/>
    </w:pPr>
    <w:r/>
    <w:r/>
  </w:p>
  <w:p w14:paraId="464DFAAA" w14:textId="77777777">
    <w:pPr>
      <w:pStyle w:val="1159"/>
      <w:pBdr/>
      <w:spacing/>
      <w:ind/>
      <w:rPr/>
    </w:pPr>
    <w:r>
      <w:t xml:space="preserve"> </w:t>
    </w:r>
    <w:r>
      <w:tab/>
    </w:r>
    <w:r>
      <w:rPr>
        <w:lang w:eastAsia="fr-FR"/>
      </w:rPr>
      <mc:AlternateContent>
        <mc:Choice Requires="wpg">
          <w:drawing>
            <wp:inline xmlns:wp="http://schemas.openxmlformats.org/drawingml/2006/wordprocessingDrawing" distT="0" distB="0" distL="0" distR="0">
              <wp:extent cx="1645850" cy="843280"/>
              <wp:effectExtent l="0" t="0" r="5715" b="0"/>
              <wp:docPr id="1" name="Image 2" descr="Macintosh HD:Users:preafca-pi:Desktop:ALSACE CINEMAS:LOGOS:LE RÉCIT 2018:Logo baseline JPEG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Macintosh HD:Users:preafca-pi:Desktop:ALSACE CINEMAS:LOGOS:LE RÉCIT 2018:Logo baseline JPEG.p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645850" cy="843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29.59pt;height:66.40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100" w:type="dxa"/>
      <w:tblW w:w="0" w:type="auto"/>
      <w:tblBorders/>
      <w:tblLayout w:type="fixed"/>
      <w:tblLook w:val="0000" w:firstRow="0" w:lastRow="0" w:firstColumn="0" w:lastColumn="0" w:noHBand="0" w:noVBand="0"/>
    </w:tblPr>
    <w:tblGrid>
      <w:gridCol w:w="1604"/>
      <w:gridCol w:w="1526"/>
      <w:gridCol w:w="1457"/>
      <w:gridCol w:w="801"/>
      <w:gridCol w:w="1029"/>
      <w:gridCol w:w="1645"/>
      <w:gridCol w:w="1025"/>
      <w:gridCol w:w="539"/>
    </w:tblGrid>
    <w:tr>
      <w:trPr>
        <w:cantSplit/>
        <w:trHeight w:val="600"/>
      </w:trPr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3130" w:type="dxa"/>
        </w:tcPr>
        <w:p w14:paraId="2F9CBA77" w14:textId="77777777">
          <w:pPr>
            <w:pStyle w:val="1152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-20182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rPr/>
          </w:pPr>
          <w:r>
            <w:fldChar w:fldCharType="begin"/>
          </w:r>
          <w:r>
            <w:instrText xml:space="preserve"> USERPROPERTY  \* MERGEFORMAT </w:instrText>
          </w:r>
          <w:r>
            <w:fldChar w:fldCharType="separate"/>
          </w:r>
          <w:r>
            <w:fldChar w:fldCharType="begin"/>
          </w:r>
          <w:r>
            <w:instrText xml:space="preserve"> USERPROPERTY  \* MERGEFORMAT </w:instrText>
          </w:r>
          <w:r>
            <w:fldChar w:fldCharType="separate"/>
          </w:r>
          <w:r>
            <w:fldChar w:fldCharType="end"/>
          </w:r>
          <w:r>
            <w:fldChar w:fldCharType="end"/>
          </w:r>
          <w:r/>
        </w:p>
      </w:tc>
      <w:tc>
        <w:tcPr>
          <w:gridSpan w:val="6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6496" w:type="dxa"/>
          <w:vAlign w:val="center"/>
        </w:tcPr>
        <w:p w14:paraId="2AAA39A7" w14:textId="77777777">
          <w:pPr>
            <w:pBdr/>
            <w:tabs>
              <w:tab w:val="left" w:leader="none" w:pos="-31680"/>
              <w:tab w:val="left" w:leader="none" w:pos="-31552"/>
              <w:tab w:val="left" w:leader="none" w:pos="-30844"/>
              <w:tab w:val="left" w:leader="none" w:pos="-30136"/>
              <w:tab w:val="left" w:leader="none" w:pos="-29428"/>
              <w:tab w:val="left" w:leader="none" w:pos="-28720"/>
              <w:tab w:val="left" w:leader="none" w:pos="-28012"/>
              <w:tab w:val="left" w:leader="none" w:pos="-27304"/>
              <w:tab w:val="left" w:leader="none" w:pos="-26596"/>
              <w:tab w:val="left" w:leader="none" w:pos="-25888"/>
              <w:tab w:val="left" w:leader="none" w:pos="-25180"/>
              <w:tab w:val="left" w:leader="none" w:pos="-24472"/>
              <w:tab w:val="left" w:leader="none" w:pos="-23764"/>
              <w:tab w:val="left" w:leader="none" w:pos="-23056"/>
              <w:tab w:val="left" w:leader="none" w:pos="-22348"/>
              <w:tab w:val="left" w:leader="none" w:pos="-21640"/>
              <w:tab w:val="left" w:leader="none" w:pos="-20932"/>
              <w:tab w:val="left" w:leader="none" w:pos="-20224"/>
              <w:tab w:val="left" w:leader="none" w:pos="708"/>
              <w:tab w:val="left" w:leader="none" w:pos="1416"/>
              <w:tab w:val="left" w:leader="none" w:pos="2124"/>
              <w:tab w:val="left" w:leader="none" w:pos="2832"/>
              <w:tab w:val="left" w:leader="none" w:pos="3540"/>
              <w:tab w:val="left" w:leader="none" w:pos="4248"/>
              <w:tab w:val="left" w:leader="none" w:pos="4956"/>
              <w:tab w:val="left" w:leader="none" w:pos="5664"/>
              <w:tab w:val="left" w:leader="none" w:pos="6372"/>
              <w:tab w:val="left" w:leader="none" w:pos="7080"/>
              <w:tab w:val="left" w:leader="none" w:pos="7788"/>
              <w:tab w:val="left" w:leader="none" w:pos="8496"/>
              <w:tab w:val="left" w:leader="none" w:pos="9204"/>
              <w:tab w:val="left" w:leader="none" w:pos="9912"/>
              <w:tab w:val="left" w:leader="none" w:pos="10620"/>
              <w:tab w:val="left" w:leader="none" w:pos="11328"/>
              <w:tab w:val="left" w:leader="none" w:pos="12036"/>
              <w:tab w:val="left" w:leader="none" w:pos="12744"/>
              <w:tab w:val="left" w:leader="none" w:pos="13452"/>
              <w:tab w:val="left" w:leader="none" w:pos="14160"/>
              <w:tab w:val="left" w:leader="none" w:pos="14868"/>
              <w:tab w:val="left" w:leader="none" w:pos="15576"/>
              <w:tab w:val="left" w:leader="none" w:pos="16284"/>
              <w:tab w:val="left" w:leader="none" w:pos="16992"/>
              <w:tab w:val="left" w:leader="none" w:pos="17700"/>
              <w:tab w:val="left" w:leader="none" w:pos="18408"/>
              <w:tab w:val="left" w:leader="none" w:pos="19116"/>
              <w:tab w:val="left" w:leader="none" w:pos="19824"/>
              <w:tab w:val="left" w:leader="none" w:pos="20532"/>
              <w:tab w:val="left" w:leader="none" w:pos="21240"/>
              <w:tab w:val="left" w:leader="none" w:pos="21948"/>
              <w:tab w:val="left" w:leader="none" w:pos="22656"/>
              <w:tab w:val="left" w:leader="none" w:pos="23364"/>
              <w:tab w:val="left" w:leader="none" w:pos="24072"/>
              <w:tab w:val="left" w:leader="none" w:pos="24780"/>
              <w:tab w:val="left" w:leader="none" w:pos="25488"/>
              <w:tab w:val="left" w:leader="none" w:pos="26196"/>
              <w:tab w:val="left" w:leader="none" w:pos="26904"/>
              <w:tab w:val="left" w:leader="none" w:pos="27612"/>
              <w:tab w:val="left" w:leader="none" w:pos="28320"/>
              <w:tab w:val="left" w:leader="none" w:pos="29028"/>
              <w:tab w:val="left" w:leader="none" w:pos="29736"/>
              <w:tab w:val="left" w:leader="none" w:pos="30444"/>
              <w:tab w:val="left" w:leader="none" w:pos="31152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lack" w:hAnsi="Walkway Black"/>
              <w:spacing w:val="28"/>
              <w:sz w:val="28"/>
              <w:szCs w:val="22"/>
            </w:rPr>
          </w:pPr>
          <w:r>
            <w:rPr>
              <w:rFonts w:ascii="Walkway Black" w:hAnsi="Walkway Black"/>
              <w:spacing w:val="28"/>
              <w:sz w:val="28"/>
              <w:szCs w:val="22"/>
            </w:rPr>
            <w:t xml:space="preserve">Document de travail - associatheque.fr</w:t>
          </w:r>
          <w:r>
            <w:rPr>
              <w:rFonts w:ascii="Walkway Black" w:hAnsi="Walkway Black"/>
              <w:spacing w:val="28"/>
              <w:sz w:val="28"/>
              <w:szCs w:val="22"/>
            </w:rPr>
          </w:r>
          <w:r>
            <w:rPr>
              <w:rFonts w:ascii="Walkway Black" w:hAnsi="Walkway Black"/>
              <w:spacing w:val="28"/>
              <w:sz w:val="28"/>
              <w:szCs w:val="22"/>
            </w:rPr>
          </w:r>
        </w:p>
        <w:p w14:paraId="5F728E03" w14:textId="77777777">
          <w:pPr>
            <w:pBdr/>
            <w:tabs>
              <w:tab w:val="left" w:leader="none" w:pos="-31680"/>
              <w:tab w:val="left" w:leader="none" w:pos="-31552"/>
              <w:tab w:val="left" w:leader="none" w:pos="-30844"/>
              <w:tab w:val="left" w:leader="none" w:pos="-30136"/>
              <w:tab w:val="left" w:leader="none" w:pos="-29428"/>
              <w:tab w:val="left" w:leader="none" w:pos="-28720"/>
              <w:tab w:val="left" w:leader="none" w:pos="-28012"/>
              <w:tab w:val="left" w:leader="none" w:pos="-27304"/>
              <w:tab w:val="left" w:leader="none" w:pos="-26596"/>
              <w:tab w:val="left" w:leader="none" w:pos="-25888"/>
              <w:tab w:val="left" w:leader="none" w:pos="-25180"/>
              <w:tab w:val="left" w:leader="none" w:pos="-24472"/>
              <w:tab w:val="left" w:leader="none" w:pos="-23764"/>
              <w:tab w:val="left" w:leader="none" w:pos="-23056"/>
              <w:tab w:val="left" w:leader="none" w:pos="-22348"/>
              <w:tab w:val="left" w:leader="none" w:pos="-21640"/>
              <w:tab w:val="left" w:leader="none" w:pos="-20932"/>
              <w:tab w:val="left" w:leader="none" w:pos="-20224"/>
              <w:tab w:val="left" w:leader="none" w:pos="-19516"/>
              <w:tab w:val="left" w:leader="none" w:pos="-18808"/>
              <w:tab w:val="left" w:leader="none" w:pos="-18100"/>
              <w:tab w:val="left" w:leader="none" w:pos="-17392"/>
              <w:tab w:val="left" w:leader="none" w:pos="-16684"/>
              <w:tab w:val="left" w:leader="none" w:pos="-15976"/>
              <w:tab w:val="left" w:leader="none" w:pos="-15268"/>
              <w:tab w:val="left" w:leader="none" w:pos="-14560"/>
              <w:tab w:val="left" w:leader="none" w:pos="-13852"/>
              <w:tab w:val="left" w:leader="none" w:pos="7655"/>
              <w:tab w:val="left" w:leader="none" w:pos="7788"/>
              <w:tab w:val="left" w:leader="none" w:pos="8496"/>
              <w:tab w:val="left" w:leader="none" w:pos="9204"/>
              <w:tab w:val="left" w:leader="none" w:pos="9912"/>
              <w:tab w:val="left" w:leader="none" w:pos="10620"/>
              <w:tab w:val="left" w:leader="none" w:pos="11328"/>
              <w:tab w:val="left" w:leader="none" w:pos="12036"/>
              <w:tab w:val="left" w:leader="none" w:pos="12744"/>
              <w:tab w:val="left" w:leader="none" w:pos="13452"/>
              <w:tab w:val="left" w:leader="none" w:pos="14160"/>
              <w:tab w:val="left" w:leader="none" w:pos="14868"/>
              <w:tab w:val="left" w:leader="none" w:pos="15576"/>
              <w:tab w:val="left" w:leader="none" w:pos="16284"/>
              <w:tab w:val="left" w:leader="none" w:pos="16992"/>
              <w:tab w:val="left" w:leader="none" w:pos="17700"/>
              <w:tab w:val="left" w:leader="none" w:pos="18408"/>
              <w:tab w:val="left" w:leader="none" w:pos="19116"/>
              <w:tab w:val="left" w:leader="none" w:pos="19824"/>
              <w:tab w:val="left" w:leader="none" w:pos="20532"/>
              <w:tab w:val="left" w:leader="none" w:pos="21240"/>
              <w:tab w:val="left" w:leader="none" w:pos="21948"/>
              <w:tab w:val="left" w:leader="none" w:pos="22656"/>
              <w:tab w:val="left" w:leader="none" w:pos="23364"/>
              <w:tab w:val="left" w:leader="none" w:pos="24072"/>
              <w:tab w:val="left" w:leader="none" w:pos="24780"/>
              <w:tab w:val="left" w:leader="none" w:pos="25488"/>
              <w:tab w:val="left" w:leader="none" w:pos="26196"/>
              <w:tab w:val="left" w:leader="none" w:pos="26904"/>
              <w:tab w:val="left" w:leader="none" w:pos="27612"/>
              <w:tab w:val="left" w:leader="none" w:pos="28320"/>
              <w:tab w:val="left" w:leader="none" w:pos="29028"/>
              <w:tab w:val="left" w:leader="none" w:pos="29736"/>
              <w:tab w:val="left" w:leader="none" w:pos="30444"/>
              <w:tab w:val="left" w:leader="none" w:pos="31152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old" w:hAnsi="Walkway Bold"/>
              <w:spacing w:val="28"/>
              <w:sz w:val="28"/>
              <w:szCs w:val="22"/>
            </w:rPr>
          </w:pPr>
          <w:r>
            <w:rPr>
              <w:rFonts w:ascii="Walkway Bold" w:hAnsi="Walkway Bold"/>
              <w:spacing w:val="28"/>
              <w:sz w:val="28"/>
              <w:szCs w:val="22"/>
            </w:rPr>
            <w:t xml:space="preserve">Convention de mécénat type</w:t>
          </w:r>
          <w:r>
            <w:rPr>
              <w:rFonts w:ascii="Walkway Bold" w:hAnsi="Walkway Bold"/>
              <w:spacing w:val="28"/>
              <w:sz w:val="28"/>
              <w:szCs w:val="22"/>
            </w:rPr>
          </w:r>
          <w:r>
            <w:rPr>
              <w:rFonts w:ascii="Walkway Bold" w:hAnsi="Walkway Bold"/>
              <w:spacing w:val="28"/>
              <w:sz w:val="28"/>
              <w:szCs w:val="22"/>
            </w:rPr>
          </w:r>
        </w:p>
      </w:tc>
    </w:tr>
    <w:tr>
      <w:trPr>
        <w:cantSplit/>
        <w:trHeight w:val="220"/>
      </w:trPr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604" w:type="dxa"/>
        </w:tcPr>
        <w:p w14:paraId="61A98CE0" w14:textId="77777777">
          <w:pPr>
            <w:pStyle w:val="1152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</w:tabs>
            <w:spacing/>
            <w:ind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Date</w:t>
          </w:r>
          <w:r>
            <w:rPr>
              <w:rFonts w:ascii="Walkway Black" w:hAnsi="Walkway Black"/>
              <w:sz w:val="20"/>
            </w:rPr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525" w:type="dxa"/>
          <w:vAlign w:val="center"/>
        </w:tcPr>
        <w:p w14:paraId="408E62DD" w14:textId="77777777">
          <w:pPr>
            <w:pStyle w:val="1152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</w:tabs>
            <w:spacing/>
            <w:ind/>
            <w:jc w:val="center"/>
            <w:rPr>
              <w:rFonts w:ascii="Walkway Bold" w:hAnsi="Walkway Bold"/>
              <w:sz w:val="20"/>
            </w:rPr>
          </w:pPr>
          <w:r>
            <w:rPr>
              <w:rFonts w:ascii="Walkway Bold" w:hAnsi="Walkway Bold"/>
              <w:sz w:val="20"/>
            </w:rPr>
            <w:t xml:space="preserve">16/08/10</w:t>
          </w:r>
          <w:r>
            <w:rPr>
              <w:rFonts w:ascii="Walkway Bold" w:hAnsi="Walkway Bold"/>
              <w:sz w:val="20"/>
            </w:rPr>
          </w:r>
          <w:r>
            <w:rPr>
              <w:rFonts w:ascii="Walkway Bold" w:hAnsi="Walkway Bold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457" w:type="dxa"/>
        </w:tcPr>
        <w:p w14:paraId="31738AEF" w14:textId="77777777">
          <w:pPr>
            <w:pStyle w:val="1152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</w:tabs>
            <w:spacing/>
            <w:ind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Niv. Diffusion</w:t>
          </w:r>
          <w:r>
            <w:rPr>
              <w:rFonts w:ascii="Walkway Black" w:hAnsi="Walkway Black"/>
              <w:sz w:val="20"/>
            </w:rPr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800" w:type="dxa"/>
          <w:vAlign w:val="center"/>
        </w:tcPr>
        <w:p w14:paraId="38A5B3B7" w14:textId="77777777">
          <w:pPr>
            <w:pStyle w:val="1152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</w:tabs>
            <w:spacing/>
            <w:ind/>
            <w:jc w:val="center"/>
            <w:rPr>
              <w:rFonts w:ascii="Walkway Bold" w:hAnsi="Walkway Bold"/>
              <w:sz w:val="20"/>
            </w:rPr>
          </w:pPr>
          <w:r>
            <w:rPr>
              <w:rFonts w:ascii="Walkway Bold" w:hAnsi="Walkway Bold"/>
              <w:sz w:val="20"/>
            </w:rPr>
            <w:t xml:space="preserve">0</w:t>
          </w:r>
          <w:r>
            <w:rPr>
              <w:rFonts w:ascii="Walkway Bold" w:hAnsi="Walkway Bold"/>
              <w:sz w:val="20"/>
            </w:rPr>
          </w:r>
          <w:r>
            <w:rPr>
              <w:rFonts w:ascii="Walkway Bold" w:hAnsi="Walkway Bold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029" w:type="dxa"/>
          <w:vAlign w:val="center"/>
        </w:tcPr>
        <w:p w14:paraId="47EC327F" w14:textId="77777777">
          <w:pPr>
            <w:pStyle w:val="1152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</w:tabs>
            <w:spacing/>
            <w:ind/>
            <w:jc w:val="center"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Réf. :</w:t>
          </w:r>
          <w:r>
            <w:rPr>
              <w:rFonts w:ascii="Walkway Black" w:hAnsi="Walkway Black"/>
              <w:sz w:val="20"/>
            </w:rPr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645" w:type="dxa"/>
          <w:vAlign w:val="center"/>
        </w:tcPr>
        <w:p w14:paraId="4B5A02C2" w14:textId="77777777">
          <w:pPr>
            <w:pStyle w:val="1152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old" w:hAnsi="Walkway Bold"/>
              <w:sz w:val="18"/>
            </w:rPr>
          </w:pPr>
          <w:r>
            <w:rPr>
              <w:rFonts w:ascii="Walkway Bold" w:hAnsi="Walkway Bold"/>
              <w:sz w:val="18"/>
            </w:rPr>
            <w:t xml:space="preserve">100809-1</w:t>
          </w:r>
          <w:r>
            <w:rPr>
              <w:rFonts w:ascii="Walkway Bold" w:hAnsi="Walkway Bold"/>
              <w:sz w:val="18"/>
            </w:rPr>
          </w:r>
          <w:r>
            <w:rPr>
              <w:rFonts w:ascii="Walkway Bold" w:hAnsi="Walkway Bold"/>
              <w:sz w:val="18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025" w:type="dxa"/>
        </w:tcPr>
        <w:p w14:paraId="5728B766" w14:textId="77777777">
          <w:pPr>
            <w:pStyle w:val="1152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</w:tabs>
            <w:spacing/>
            <w:ind/>
            <w:jc w:val="right"/>
            <w:rPr>
              <w:rFonts w:ascii="Walkway Black" w:hAnsi="Walkway Black"/>
              <w:sz w:val="20"/>
            </w:rPr>
          </w:pPr>
          <w:r>
            <w:rPr>
              <w:rFonts w:ascii="Walkway Black" w:hAnsi="Walkway Black"/>
              <w:sz w:val="20"/>
            </w:rPr>
            <w:t xml:space="preserve">Version </w:t>
          </w:r>
          <w:r>
            <w:rPr>
              <w:rFonts w:ascii="Walkway Black" w:hAnsi="Walkway Black"/>
              <w:sz w:val="20"/>
            </w:rPr>
          </w:r>
          <w:r>
            <w:rPr>
              <w:rFonts w:ascii="Walkway Black" w:hAnsi="Walkway Black"/>
              <w:sz w:val="20"/>
            </w:rPr>
          </w:r>
        </w:p>
      </w:tc>
      <w:tc>
        <w:tcPr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538" w:type="dxa"/>
          <w:vAlign w:val="center"/>
        </w:tcPr>
        <w:p w14:paraId="5010A59C" w14:textId="77777777">
          <w:pPr>
            <w:pStyle w:val="1152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</w:tabs>
            <w:spacing/>
            <w:ind/>
            <w:rPr>
              <w:rFonts w:ascii="Walkway Bold" w:hAnsi="Walkway Bold"/>
              <w:sz w:val="20"/>
            </w:rPr>
          </w:pPr>
          <w:r>
            <w:rPr>
              <w:rFonts w:ascii="Walkway Bold" w:hAnsi="Walkway Bold"/>
              <w:sz w:val="20"/>
            </w:rPr>
            <w:t xml:space="preserve">1.0</w:t>
          </w:r>
          <w:r>
            <w:rPr>
              <w:rFonts w:ascii="Walkway Bold" w:hAnsi="Walkway Bold"/>
              <w:sz w:val="20"/>
            </w:rPr>
          </w:r>
          <w:r>
            <w:rPr>
              <w:rFonts w:ascii="Walkway Bold" w:hAnsi="Walkway Bold"/>
              <w:sz w:val="20"/>
            </w:rPr>
          </w:r>
        </w:p>
      </w:tc>
    </w:tr>
    <w:tr>
      <w:trPr>
        <w:cantSplit/>
        <w:trHeight w:val="200"/>
      </w:trPr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3130" w:type="dxa"/>
        </w:tcPr>
        <w:p w14:paraId="1CA2316A" w14:textId="77777777">
          <w:pPr>
            <w:pStyle w:val="1152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-20182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rPr>
              <w:rFonts w:ascii="Walkway Black" w:hAnsi="Walkway Black"/>
              <w:sz w:val="18"/>
            </w:rPr>
          </w:pPr>
          <w:r>
            <w:rPr>
              <w:rFonts w:ascii="Walkway Black" w:hAnsi="Walkway Black"/>
              <w:sz w:val="18"/>
            </w:rPr>
            <w:t xml:space="preserve">Emplacement de fichier</w:t>
          </w:r>
          <w:r>
            <w:rPr>
              <w:rFonts w:ascii="Walkway Black" w:hAnsi="Walkway Black"/>
              <w:sz w:val="18"/>
            </w:rPr>
          </w:r>
          <w:r>
            <w:rPr>
              <w:rFonts w:ascii="Walkway Black" w:hAnsi="Walkway Black"/>
              <w:sz w:val="18"/>
            </w:rPr>
          </w:r>
        </w:p>
      </w:tc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2258" w:type="dxa"/>
        </w:tcPr>
        <w:p w14:paraId="154E7DF6" w14:textId="77777777">
          <w:pPr>
            <w:pStyle w:val="1152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rPr/>
          </w:pPr>
          <w:r/>
          <w:r/>
        </w:p>
      </w:tc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2674" w:type="dxa"/>
          <w:vAlign w:val="center"/>
        </w:tcPr>
        <w:p w14:paraId="7F4300A8" w14:textId="77777777">
          <w:pPr>
            <w:pStyle w:val="1152"/>
            <w:pBdr/>
            <w:tabs>
              <w:tab w:val="left" w:leader="none" w:pos="-31680"/>
              <w:tab w:val="left" w:leader="none" w:pos="-31520"/>
              <w:tab w:val="left" w:leader="none" w:pos="-30812"/>
              <w:tab w:val="left" w:leader="none" w:pos="-30103"/>
              <w:tab w:val="left" w:leader="none" w:pos="-29394"/>
              <w:tab w:val="left" w:leader="none" w:pos="-28686"/>
              <w:tab w:val="left" w:leader="none" w:pos="-27977"/>
              <w:tab w:val="left" w:leader="none" w:pos="-27268"/>
              <w:tab w:val="left" w:leader="none" w:pos="-26560"/>
              <w:tab w:val="left" w:leader="none" w:pos="-25851"/>
              <w:tab w:val="left" w:leader="none" w:pos="-25142"/>
              <w:tab w:val="left" w:leader="none" w:pos="-24434"/>
              <w:tab w:val="left" w:leader="none" w:pos="-23725"/>
              <w:tab w:val="left" w:leader="none" w:pos="-23016"/>
              <w:tab w:val="left" w:leader="none" w:pos="-22308"/>
              <w:tab w:val="left" w:leader="none" w:pos="-21599"/>
              <w:tab w:val="left" w:leader="none" w:pos="-20890"/>
              <w:tab w:val="left" w:leader="none" w:pos="-20182"/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  <w:tab w:val="left" w:leader="none" w:pos="31680"/>
              <w:tab w:val="left" w:leader="none" w:pos="31680"/>
            </w:tabs>
            <w:spacing/>
            <w:ind/>
            <w:jc w:val="center"/>
            <w:rPr>
              <w:rFonts w:ascii="Walkway Black" w:hAnsi="Walkway Black"/>
              <w:sz w:val="18"/>
            </w:rPr>
          </w:pPr>
          <w:r>
            <w:rPr>
              <w:rFonts w:ascii="Walkway Black" w:hAnsi="Walkway Black"/>
              <w:sz w:val="18"/>
            </w:rPr>
            <w:t xml:space="preserve">Nom de fichier</w:t>
          </w:r>
          <w:r>
            <w:rPr>
              <w:rFonts w:ascii="Walkway Black" w:hAnsi="Walkway Black"/>
              <w:sz w:val="18"/>
            </w:rPr>
          </w:r>
          <w:r>
            <w:rPr>
              <w:rFonts w:ascii="Walkway Black" w:hAnsi="Walkway Black"/>
              <w:sz w:val="18"/>
            </w:rPr>
          </w:r>
        </w:p>
      </w:tc>
      <w:tc>
        <w:tcPr>
          <w:gridSpan w:val="2"/>
          <w:shd w:val="clear" w:color="auto" w:fill="auto"/>
          <w:tcBorders>
            <w:top w:val="single" w:color="bfbfbf" w:sz="2" w:space="0"/>
            <w:left w:val="single" w:color="bfbfbf" w:sz="2" w:space="0"/>
            <w:bottom w:val="single" w:color="bfbfbf" w:sz="2" w:space="0"/>
            <w:right w:val="single" w:color="bfbfbf" w:sz="2" w:space="0"/>
          </w:tcBorders>
          <w:tcMar>
            <w:left w:w="100" w:type="dxa"/>
            <w:top w:w="100" w:type="dxa"/>
            <w:right w:w="100" w:type="dxa"/>
            <w:bottom w:w="100" w:type="dxa"/>
          </w:tcMar>
          <w:tcW w:w="1563" w:type="dxa"/>
        </w:tcPr>
        <w:p w14:paraId="487D395F" w14:textId="77777777">
          <w:pPr>
            <w:pStyle w:val="1152"/>
            <w:pBdr/>
            <w:tabs>
              <w:tab w:val="left" w:leader="none" w:pos="709"/>
              <w:tab w:val="left" w:leader="none" w:pos="1417"/>
              <w:tab w:val="left" w:leader="none" w:pos="2126"/>
              <w:tab w:val="left" w:leader="none" w:pos="2835"/>
              <w:tab w:val="left" w:leader="none" w:pos="3543"/>
              <w:tab w:val="left" w:leader="none" w:pos="4252"/>
              <w:tab w:val="left" w:leader="none" w:pos="4961"/>
              <w:tab w:val="left" w:leader="none" w:pos="5669"/>
              <w:tab w:val="left" w:leader="none" w:pos="6378"/>
              <w:tab w:val="left" w:leader="none" w:pos="7087"/>
              <w:tab w:val="left" w:leader="none" w:pos="7795"/>
              <w:tab w:val="left" w:leader="none" w:pos="8504"/>
              <w:tab w:val="left" w:leader="none" w:pos="9213"/>
              <w:tab w:val="left" w:leader="none" w:pos="9921"/>
              <w:tab w:val="left" w:leader="none" w:pos="10630"/>
              <w:tab w:val="left" w:leader="none" w:pos="11339"/>
              <w:tab w:val="left" w:leader="none" w:pos="12047"/>
              <w:tab w:val="left" w:leader="none" w:pos="12756"/>
              <w:tab w:val="left" w:leader="none" w:pos="13465"/>
              <w:tab w:val="left" w:leader="none" w:pos="14173"/>
              <w:tab w:val="left" w:leader="none" w:pos="14882"/>
              <w:tab w:val="left" w:leader="none" w:pos="15591"/>
              <w:tab w:val="left" w:leader="none" w:pos="16299"/>
              <w:tab w:val="left" w:leader="none" w:pos="17008"/>
              <w:tab w:val="left" w:leader="none" w:pos="17717"/>
              <w:tab w:val="left" w:leader="none" w:pos="18425"/>
              <w:tab w:val="left" w:leader="none" w:pos="19134"/>
              <w:tab w:val="left" w:leader="none" w:pos="19843"/>
              <w:tab w:val="left" w:leader="none" w:pos="20551"/>
              <w:tab w:val="left" w:leader="none" w:pos="21260"/>
              <w:tab w:val="left" w:leader="none" w:pos="21969"/>
              <w:tab w:val="left" w:leader="none" w:pos="22677"/>
              <w:tab w:val="left" w:leader="none" w:pos="23386"/>
              <w:tab w:val="left" w:leader="none" w:pos="24094"/>
              <w:tab w:val="left" w:leader="none" w:pos="24803"/>
              <w:tab w:val="left" w:leader="none" w:pos="25512"/>
              <w:tab w:val="left" w:leader="none" w:pos="26220"/>
              <w:tab w:val="left" w:leader="none" w:pos="26929"/>
              <w:tab w:val="left" w:leader="none" w:pos="27638"/>
              <w:tab w:val="left" w:leader="none" w:pos="28346"/>
              <w:tab w:val="left" w:leader="none" w:pos="29055"/>
              <w:tab w:val="left" w:leader="none" w:pos="29764"/>
              <w:tab w:val="left" w:leader="none" w:pos="30472"/>
              <w:tab w:val="left" w:leader="none" w:pos="31181"/>
            </w:tabs>
            <w:spacing/>
            <w:ind/>
            <w:jc w:val="right"/>
            <w:rPr/>
          </w:pPr>
          <w:r/>
          <w:r/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F13416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7A9617C0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4"/>
        <w:szCs w:val="24"/>
        <w:lang w:val="fr-FR" w:eastAsia="fr-FR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966">
    <w:name w:val="Table Grid"/>
    <w:basedOn w:val="11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Table Grid Light"/>
    <w:basedOn w:val="11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Plain Table 1"/>
    <w:basedOn w:val="11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Plain Table 2"/>
    <w:basedOn w:val="115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Plain Table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Plain Table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Plain Table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Grid Table 1 Light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Grid Table 1 Light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Grid Table 1 Light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Grid Table 1 Light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Grid Table 1 Light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Grid Table 1 Light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Grid Table 1 Light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Grid Table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Grid Table 2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Grid Table 2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Grid Table 2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Grid Table 2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Grid Table 2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Grid Table 2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Grid Table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Grid Table 3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Grid Table 3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Grid Table 3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Grid Table 3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Grid Table 3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Grid Table 3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Grid Table 4"/>
    <w:basedOn w:val="11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Grid Table 4 - Accent 1"/>
    <w:basedOn w:val="11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Grid Table 4 - Accent 2"/>
    <w:basedOn w:val="11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Grid Table 4 - Accent 3"/>
    <w:basedOn w:val="11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Grid Table 4 - Accent 4"/>
    <w:basedOn w:val="11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Grid Table 4 - Accent 5"/>
    <w:basedOn w:val="11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Grid Table 4 - Accent 6"/>
    <w:basedOn w:val="115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5 Dark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Grid Table 5 Dark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5 Dark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5 Dark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Grid Table 5 Dark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5 Dark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5 Dark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6 Colorful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Grid Table 6 Colorful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6 Colorful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6 Colorful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6 Colorful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6 Colorful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6 Colorful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7 Colorful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7 Colorful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7 Colorful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Grid Table 7 Colorful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7 Colorful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7 Colorful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7 Colorful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List Table 1 Light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List Table 1 Light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List Table 1 Light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List Table 1 Light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List Table 1 Light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List Table 1 Light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List Table 1 Light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List Table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List Table 2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List Table 2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List Table 2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List Table 2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List Table 2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List Table 2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List Table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List Table 3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List Table 3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List Table 3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List Table 3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List Table 3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List Table 3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List Table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List Table 4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List Table 4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List Table 4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List Table 4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List Table 4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List Table 4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st Table 5 Dark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List Table 5 Dark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st Table 5 Dark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5 Dark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List Table 5 Dark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5 Dark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List Table 5 Dark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6 Colorful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List Table 6 Colorful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List Table 6 Colorful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6 Colorful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6 Colorful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6 Colorful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6 Colorful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7 Colorful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7 Colorful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7 Colorful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7 Colorful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7 Colorful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7 Colorful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7 Colorful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ned - Accent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ned - Accent 1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ned - Accent 2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ned - Accent 3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ned - Accent 4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ned - Accent 5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ned - Accent 6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>
    <w:name w:val="Bordered &amp; Lined - Accent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>
    <w:name w:val="Bordered &amp; Lined - Accent 1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>
    <w:name w:val="Bordered &amp; Lined - Accent 2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>
    <w:name w:val="Bordered &amp; Lined - Accent 3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>
    <w:name w:val="Bordered &amp; Lined - Accent 4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>
    <w:name w:val="Bordered &amp; Lined - Accent 5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>
    <w:name w:val="Bordered &amp; Lined - Accent 6"/>
    <w:basedOn w:val="115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>
    <w:name w:val="Bordered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>
    <w:name w:val="Bordered - Accent 1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>
    <w:name w:val="Bordered - Accent 2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>
    <w:name w:val="Bordered - Accent 3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>
    <w:name w:val="Bordered - Accent 4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>
    <w:name w:val="Bordered - Accent 5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>
    <w:name w:val="Bordered - Accent 6"/>
    <w:basedOn w:val="115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92">
    <w:name w:val="Heading 1"/>
    <w:basedOn w:val="1148"/>
    <w:next w:val="1148"/>
    <w:link w:val="110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093">
    <w:name w:val="Heading 2"/>
    <w:basedOn w:val="1148"/>
    <w:next w:val="1148"/>
    <w:link w:val="110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094">
    <w:name w:val="Heading 3"/>
    <w:basedOn w:val="1148"/>
    <w:next w:val="1148"/>
    <w:link w:val="110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095">
    <w:name w:val="Heading 4"/>
    <w:basedOn w:val="1148"/>
    <w:next w:val="1148"/>
    <w:link w:val="110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096">
    <w:name w:val="Heading 5"/>
    <w:basedOn w:val="1148"/>
    <w:next w:val="1148"/>
    <w:link w:val="110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097">
    <w:name w:val="Heading 6"/>
    <w:basedOn w:val="1148"/>
    <w:next w:val="1148"/>
    <w:link w:val="110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098">
    <w:name w:val="Heading 7"/>
    <w:basedOn w:val="1148"/>
    <w:next w:val="1148"/>
    <w:link w:val="110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099">
    <w:name w:val="Heading 8"/>
    <w:basedOn w:val="1148"/>
    <w:next w:val="1148"/>
    <w:link w:val="110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100">
    <w:name w:val="Heading 9"/>
    <w:basedOn w:val="1148"/>
    <w:next w:val="1148"/>
    <w:link w:val="110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101">
    <w:name w:val="Heading 1 Char"/>
    <w:basedOn w:val="1149"/>
    <w:link w:val="10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102">
    <w:name w:val="Heading 2 Char"/>
    <w:basedOn w:val="1149"/>
    <w:link w:val="10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103">
    <w:name w:val="Heading 3 Char"/>
    <w:basedOn w:val="1149"/>
    <w:link w:val="10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104">
    <w:name w:val="Heading 4 Char"/>
    <w:basedOn w:val="1149"/>
    <w:link w:val="109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105">
    <w:name w:val="Heading 5 Char"/>
    <w:basedOn w:val="1149"/>
    <w:link w:val="10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106">
    <w:name w:val="Heading 6 Char"/>
    <w:basedOn w:val="1149"/>
    <w:link w:val="109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107">
    <w:name w:val="Heading 7 Char"/>
    <w:basedOn w:val="1149"/>
    <w:link w:val="109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108">
    <w:name w:val="Heading 8 Char"/>
    <w:basedOn w:val="1149"/>
    <w:link w:val="109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109">
    <w:name w:val="Heading 9 Char"/>
    <w:basedOn w:val="1149"/>
    <w:link w:val="110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110">
    <w:name w:val="Title"/>
    <w:basedOn w:val="1148"/>
    <w:next w:val="1148"/>
    <w:link w:val="111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111">
    <w:name w:val="Title Char"/>
    <w:basedOn w:val="1149"/>
    <w:link w:val="111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112">
    <w:name w:val="Subtitle"/>
    <w:basedOn w:val="1148"/>
    <w:next w:val="1148"/>
    <w:link w:val="111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113">
    <w:name w:val="Subtitle Char"/>
    <w:basedOn w:val="1149"/>
    <w:link w:val="111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114">
    <w:name w:val="Quote"/>
    <w:basedOn w:val="1148"/>
    <w:next w:val="1148"/>
    <w:link w:val="111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115">
    <w:name w:val="Quote Char"/>
    <w:basedOn w:val="1149"/>
    <w:link w:val="111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116">
    <w:name w:val="Intense Emphasis"/>
    <w:basedOn w:val="114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117">
    <w:name w:val="Intense Quote"/>
    <w:basedOn w:val="1148"/>
    <w:next w:val="1148"/>
    <w:link w:val="111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118">
    <w:name w:val="Intense Quote Char"/>
    <w:basedOn w:val="1149"/>
    <w:link w:val="111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119">
    <w:name w:val="Intense Reference"/>
    <w:basedOn w:val="114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120">
    <w:name w:val="No Spacing"/>
    <w:basedOn w:val="1148"/>
    <w:uiPriority w:val="1"/>
    <w:qFormat/>
    <w:pPr>
      <w:pBdr/>
      <w:spacing w:after="0" w:line="240" w:lineRule="auto"/>
      <w:ind/>
    </w:pPr>
  </w:style>
  <w:style w:type="character" w:styleId="1121">
    <w:name w:val="Subtle Emphasis"/>
    <w:basedOn w:val="114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122">
    <w:name w:val="Emphasis"/>
    <w:basedOn w:val="1149"/>
    <w:uiPriority w:val="20"/>
    <w:qFormat/>
    <w:pPr>
      <w:pBdr/>
      <w:spacing/>
      <w:ind/>
    </w:pPr>
    <w:rPr>
      <w:i/>
      <w:iCs/>
    </w:rPr>
  </w:style>
  <w:style w:type="character" w:styleId="1123">
    <w:name w:val="Strong"/>
    <w:basedOn w:val="1149"/>
    <w:uiPriority w:val="22"/>
    <w:qFormat/>
    <w:pPr>
      <w:pBdr/>
      <w:spacing/>
      <w:ind/>
    </w:pPr>
    <w:rPr>
      <w:b/>
      <w:bCs/>
    </w:rPr>
  </w:style>
  <w:style w:type="character" w:styleId="1124">
    <w:name w:val="Subtle Reference"/>
    <w:basedOn w:val="114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125">
    <w:name w:val="Book Title"/>
    <w:basedOn w:val="114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126">
    <w:name w:val="Header Char"/>
    <w:basedOn w:val="1149"/>
    <w:link w:val="1159"/>
    <w:uiPriority w:val="99"/>
    <w:pPr>
      <w:pBdr/>
      <w:spacing/>
      <w:ind/>
    </w:pPr>
  </w:style>
  <w:style w:type="character" w:styleId="1127">
    <w:name w:val="Footer Char"/>
    <w:basedOn w:val="1149"/>
    <w:link w:val="1156"/>
    <w:uiPriority w:val="99"/>
    <w:pPr>
      <w:pBdr/>
      <w:spacing/>
      <w:ind/>
    </w:pPr>
  </w:style>
  <w:style w:type="paragraph" w:styleId="1128">
    <w:name w:val="Caption"/>
    <w:basedOn w:val="1148"/>
    <w:next w:val="114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129">
    <w:name w:val="footnote text"/>
    <w:basedOn w:val="1148"/>
    <w:link w:val="113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30">
    <w:name w:val="Footnote Text Char"/>
    <w:basedOn w:val="1149"/>
    <w:link w:val="1129"/>
    <w:uiPriority w:val="99"/>
    <w:semiHidden/>
    <w:pPr>
      <w:pBdr/>
      <w:spacing/>
      <w:ind/>
    </w:pPr>
    <w:rPr>
      <w:sz w:val="20"/>
      <w:szCs w:val="20"/>
    </w:rPr>
  </w:style>
  <w:style w:type="character" w:styleId="1131">
    <w:name w:val="footnote reference"/>
    <w:basedOn w:val="1149"/>
    <w:uiPriority w:val="99"/>
    <w:semiHidden/>
    <w:unhideWhenUsed/>
    <w:pPr>
      <w:pBdr/>
      <w:spacing/>
      <w:ind/>
    </w:pPr>
    <w:rPr>
      <w:vertAlign w:val="superscript"/>
    </w:rPr>
  </w:style>
  <w:style w:type="paragraph" w:styleId="1132">
    <w:name w:val="endnote text"/>
    <w:basedOn w:val="1148"/>
    <w:link w:val="113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33">
    <w:name w:val="Endnote Text Char"/>
    <w:basedOn w:val="1149"/>
    <w:link w:val="1132"/>
    <w:uiPriority w:val="99"/>
    <w:semiHidden/>
    <w:pPr>
      <w:pBdr/>
      <w:spacing/>
      <w:ind/>
    </w:pPr>
    <w:rPr>
      <w:sz w:val="20"/>
      <w:szCs w:val="20"/>
    </w:rPr>
  </w:style>
  <w:style w:type="character" w:styleId="1134">
    <w:name w:val="endnote reference"/>
    <w:basedOn w:val="1149"/>
    <w:uiPriority w:val="99"/>
    <w:semiHidden/>
    <w:unhideWhenUsed/>
    <w:pPr>
      <w:pBdr/>
      <w:spacing/>
      <w:ind/>
    </w:pPr>
    <w:rPr>
      <w:vertAlign w:val="superscript"/>
    </w:rPr>
  </w:style>
  <w:style w:type="character" w:styleId="1135">
    <w:name w:val="FollowedHyperlink"/>
    <w:basedOn w:val="114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136">
    <w:name w:val="toc 1"/>
    <w:basedOn w:val="1148"/>
    <w:next w:val="1148"/>
    <w:uiPriority w:val="39"/>
    <w:unhideWhenUsed/>
    <w:pPr>
      <w:pBdr/>
      <w:spacing w:after="100"/>
      <w:ind/>
    </w:pPr>
  </w:style>
  <w:style w:type="paragraph" w:styleId="1137">
    <w:name w:val="toc 2"/>
    <w:basedOn w:val="1148"/>
    <w:next w:val="1148"/>
    <w:uiPriority w:val="39"/>
    <w:unhideWhenUsed/>
    <w:pPr>
      <w:pBdr/>
      <w:spacing w:after="100"/>
      <w:ind w:left="220"/>
    </w:pPr>
  </w:style>
  <w:style w:type="paragraph" w:styleId="1138">
    <w:name w:val="toc 3"/>
    <w:basedOn w:val="1148"/>
    <w:next w:val="1148"/>
    <w:uiPriority w:val="39"/>
    <w:unhideWhenUsed/>
    <w:pPr>
      <w:pBdr/>
      <w:spacing w:after="100"/>
      <w:ind w:left="440"/>
    </w:pPr>
  </w:style>
  <w:style w:type="paragraph" w:styleId="1139">
    <w:name w:val="toc 4"/>
    <w:basedOn w:val="1148"/>
    <w:next w:val="1148"/>
    <w:uiPriority w:val="39"/>
    <w:unhideWhenUsed/>
    <w:pPr>
      <w:pBdr/>
      <w:spacing w:after="100"/>
      <w:ind w:left="660"/>
    </w:pPr>
  </w:style>
  <w:style w:type="paragraph" w:styleId="1140">
    <w:name w:val="toc 5"/>
    <w:basedOn w:val="1148"/>
    <w:next w:val="1148"/>
    <w:uiPriority w:val="39"/>
    <w:unhideWhenUsed/>
    <w:pPr>
      <w:pBdr/>
      <w:spacing w:after="100"/>
      <w:ind w:left="880"/>
    </w:pPr>
  </w:style>
  <w:style w:type="paragraph" w:styleId="1141">
    <w:name w:val="toc 6"/>
    <w:basedOn w:val="1148"/>
    <w:next w:val="1148"/>
    <w:uiPriority w:val="39"/>
    <w:unhideWhenUsed/>
    <w:pPr>
      <w:pBdr/>
      <w:spacing w:after="100"/>
      <w:ind w:left="1100"/>
    </w:pPr>
  </w:style>
  <w:style w:type="paragraph" w:styleId="1142">
    <w:name w:val="toc 7"/>
    <w:basedOn w:val="1148"/>
    <w:next w:val="1148"/>
    <w:uiPriority w:val="39"/>
    <w:unhideWhenUsed/>
    <w:pPr>
      <w:pBdr/>
      <w:spacing w:after="100"/>
      <w:ind w:left="1320"/>
    </w:pPr>
  </w:style>
  <w:style w:type="paragraph" w:styleId="1143">
    <w:name w:val="toc 8"/>
    <w:basedOn w:val="1148"/>
    <w:next w:val="1148"/>
    <w:uiPriority w:val="39"/>
    <w:unhideWhenUsed/>
    <w:pPr>
      <w:pBdr/>
      <w:spacing w:after="100"/>
      <w:ind w:left="1540"/>
    </w:pPr>
  </w:style>
  <w:style w:type="paragraph" w:styleId="1144">
    <w:name w:val="toc 9"/>
    <w:basedOn w:val="1148"/>
    <w:next w:val="1148"/>
    <w:uiPriority w:val="39"/>
    <w:unhideWhenUsed/>
    <w:pPr>
      <w:pBdr/>
      <w:spacing w:after="100"/>
      <w:ind w:left="1760"/>
    </w:pPr>
  </w:style>
  <w:style w:type="character" w:styleId="1145">
    <w:name w:val="Placeholder Text"/>
    <w:basedOn w:val="1149"/>
    <w:uiPriority w:val="99"/>
    <w:semiHidden/>
    <w:pPr>
      <w:pBdr/>
      <w:spacing/>
      <w:ind/>
    </w:pPr>
    <w:rPr>
      <w:color w:val="666666"/>
    </w:rPr>
  </w:style>
  <w:style w:type="paragraph" w:styleId="1146">
    <w:name w:val="TOC Heading"/>
    <w:uiPriority w:val="39"/>
    <w:unhideWhenUsed/>
    <w:pPr>
      <w:pBdr/>
      <w:spacing/>
      <w:ind/>
    </w:pPr>
  </w:style>
  <w:style w:type="paragraph" w:styleId="1147">
    <w:name w:val="table of figures"/>
    <w:basedOn w:val="1148"/>
    <w:next w:val="1148"/>
    <w:uiPriority w:val="99"/>
    <w:unhideWhenUsed/>
    <w:pPr>
      <w:pBdr/>
      <w:spacing w:after="0" w:afterAutospacing="0"/>
      <w:ind/>
    </w:pPr>
  </w:style>
  <w:style w:type="paragraph" w:styleId="1148" w:default="1">
    <w:name w:val="Normal"/>
    <w:qFormat/>
    <w:pPr>
      <w:pBdr/>
      <w:spacing/>
      <w:ind/>
    </w:pPr>
    <w:rPr>
      <w:rFonts w:ascii="Times New Roman" w:hAnsi="Times New Roman" w:eastAsia="ヒラギノ角ゴ Pro W3" w:cs="Times New Roman"/>
      <w:color w:val="000000"/>
      <w:lang w:eastAsia="en-US"/>
    </w:rPr>
  </w:style>
  <w:style w:type="character" w:styleId="1149" w:default="1">
    <w:name w:val="Default Paragraph Font"/>
    <w:uiPriority w:val="1"/>
    <w:semiHidden/>
    <w:unhideWhenUsed/>
    <w:pPr>
      <w:pBdr/>
      <w:spacing/>
      <w:ind/>
    </w:pPr>
  </w:style>
  <w:style w:type="table" w:styleId="115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151" w:default="1">
    <w:name w:val="No List"/>
    <w:uiPriority w:val="99"/>
    <w:semiHidden/>
    <w:unhideWhenUsed/>
    <w:pPr>
      <w:pBdr/>
      <w:spacing/>
      <w:ind/>
    </w:pPr>
  </w:style>
  <w:style w:type="paragraph" w:styleId="1152" w:customStyle="1">
    <w:name w:val="Corps"/>
    <w:pPr>
      <w:pBdr/>
      <w:spacing/>
      <w:ind/>
    </w:pPr>
    <w:rPr>
      <w:rFonts w:ascii="Helvetica" w:hAnsi="Helvetica" w:eastAsia="ヒラギノ角ゴ Pro W3" w:cs="Times New Roman"/>
      <w:color w:val="000000"/>
      <w:szCs w:val="20"/>
    </w:rPr>
  </w:style>
  <w:style w:type="paragraph" w:styleId="1153" w:customStyle="1">
    <w:name w:val="Standard"/>
    <w:pPr>
      <w:pBdr/>
      <w:spacing/>
      <w:ind/>
    </w:pPr>
    <w:rPr>
      <w:rFonts w:ascii="Times New Roman" w:hAnsi="Times New Roman" w:eastAsia="ヒラギノ角ゴ Pro W3" w:cs="Times New Roman"/>
      <w:color w:val="000000"/>
      <w:sz w:val="20"/>
      <w:szCs w:val="20"/>
    </w:rPr>
  </w:style>
  <w:style w:type="character" w:styleId="1154" w:customStyle="1">
    <w:name w:val="Lien hypertexte1"/>
    <w:pPr>
      <w:pBdr/>
      <w:spacing/>
      <w:ind/>
    </w:pPr>
    <w:rPr>
      <w:color w:val="0000ff"/>
      <w:sz w:val="20"/>
      <w:u w:val="single"/>
    </w:rPr>
  </w:style>
  <w:style w:type="paragraph" w:styleId="1155" w:customStyle="1">
    <w:name w:val="Format libre"/>
    <w:pPr>
      <w:pBdr/>
      <w:spacing/>
      <w:ind/>
    </w:pPr>
    <w:rPr>
      <w:rFonts w:ascii="Times New Roman" w:hAnsi="Times New Roman" w:eastAsia="ヒラギノ角ゴ Pro W3" w:cs="Times New Roman"/>
      <w:color w:val="000000"/>
      <w:sz w:val="20"/>
      <w:szCs w:val="20"/>
    </w:rPr>
  </w:style>
  <w:style w:type="paragraph" w:styleId="1156">
    <w:name w:val="Footer"/>
    <w:basedOn w:val="1148"/>
    <w:link w:val="1157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1157" w:customStyle="1">
    <w:name w:val="Pied de page Car"/>
    <w:basedOn w:val="1149"/>
    <w:link w:val="1156"/>
    <w:uiPriority w:val="99"/>
    <w:pPr>
      <w:pBdr/>
      <w:spacing/>
      <w:ind/>
    </w:pPr>
    <w:rPr>
      <w:rFonts w:ascii="Times New Roman" w:hAnsi="Times New Roman" w:eastAsia="ヒラギノ角ゴ Pro W3" w:cs="Times New Roman"/>
      <w:color w:val="000000"/>
      <w:lang w:eastAsia="en-US"/>
    </w:rPr>
  </w:style>
  <w:style w:type="character" w:styleId="1158">
    <w:name w:val="page number"/>
    <w:basedOn w:val="1149"/>
    <w:uiPriority w:val="99"/>
    <w:semiHidden/>
    <w:unhideWhenUsed/>
    <w:pPr>
      <w:pBdr/>
      <w:spacing/>
      <w:ind/>
    </w:pPr>
  </w:style>
  <w:style w:type="paragraph" w:styleId="1159">
    <w:name w:val="Header"/>
    <w:basedOn w:val="1148"/>
    <w:link w:val="1160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</w:style>
  <w:style w:type="character" w:styleId="1160" w:customStyle="1">
    <w:name w:val="En-tête Car"/>
    <w:basedOn w:val="1149"/>
    <w:link w:val="1159"/>
    <w:uiPriority w:val="99"/>
    <w:pPr>
      <w:pBdr/>
      <w:spacing/>
      <w:ind/>
    </w:pPr>
    <w:rPr>
      <w:rFonts w:ascii="Times New Roman" w:hAnsi="Times New Roman" w:eastAsia="ヒラギノ角ゴ Pro W3" w:cs="Times New Roman"/>
      <w:color w:val="000000"/>
      <w:lang w:eastAsia="en-US"/>
    </w:rPr>
  </w:style>
  <w:style w:type="character" w:styleId="1161">
    <w:name w:val="Hyperlink"/>
    <w:basedOn w:val="1149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162">
    <w:name w:val="Balloon Text"/>
    <w:basedOn w:val="1148"/>
    <w:link w:val="1163"/>
    <w:uiPriority w:val="99"/>
    <w:semiHidden/>
    <w:unhideWhenUsed/>
    <w:pPr>
      <w:pBdr/>
      <w:spacing/>
      <w:ind/>
    </w:pPr>
    <w:rPr>
      <w:rFonts w:ascii="Lucida Grande" w:hAnsi="Lucida Grande" w:cs="Lucida Grande"/>
      <w:sz w:val="18"/>
      <w:szCs w:val="18"/>
    </w:rPr>
  </w:style>
  <w:style w:type="character" w:styleId="1163" w:customStyle="1">
    <w:name w:val="Texte de bulles Car"/>
    <w:basedOn w:val="1149"/>
    <w:link w:val="1162"/>
    <w:uiPriority w:val="99"/>
    <w:semiHidden/>
    <w:pPr>
      <w:pBdr/>
      <w:spacing/>
      <w:ind/>
    </w:pPr>
    <w:rPr>
      <w:rFonts w:ascii="Lucida Grande" w:hAnsi="Lucida Grande" w:eastAsia="ヒラギノ角ゴ Pro W3" w:cs="Lucida Grande"/>
      <w:color w:val="000000"/>
      <w:sz w:val="18"/>
      <w:szCs w:val="18"/>
      <w:lang w:eastAsia="en-US"/>
    </w:rPr>
  </w:style>
  <w:style w:type="paragraph" w:styleId="1164">
    <w:name w:val="List Paragraph"/>
    <w:basedOn w:val="1148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mailto:contact@oraveo.com" TargetMode="External"/><Relationship Id="rId2" Type="http://schemas.openxmlformats.org/officeDocument/2006/relationships/hyperlink" Target="http://www.oraveo.com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Bureau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Alsace Cinémas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Gwladys Morinière</dc:creator>
  <cp:keywords/>
  <dc:description/>
  <cp:lastModifiedBy>Sophie Gangloff</cp:lastModifiedBy>
  <cp:revision>6</cp:revision>
  <dcterms:created xsi:type="dcterms:W3CDTF">2023-04-27T14:05:00Z</dcterms:created>
  <dcterms:modified xsi:type="dcterms:W3CDTF">2026-08-18T12:06:33Z</dcterms:modified>
</cp:coreProperties>
</file>