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60B468" w14:textId="77777777" w:rsidR="00377FEE" w:rsidRDefault="00377FEE">
      <w:pPr>
        <w:pBdr>
          <w:top w:val="single" w:sz="4" w:space="1" w:color="000000"/>
          <w:left w:val="single" w:sz="4" w:space="4" w:color="000000"/>
          <w:bottom w:val="single" w:sz="4" w:space="1" w:color="000000"/>
          <w:right w:val="single" w:sz="4" w:space="4" w:color="000000"/>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p>
    <w:p w14:paraId="5BF5C981" w14:textId="77777777" w:rsidR="00377FEE" w:rsidRDefault="00000000">
      <w:pPr>
        <w:pBdr>
          <w:top w:val="single" w:sz="4" w:space="1" w:color="000000"/>
          <w:left w:val="single" w:sz="4" w:space="4" w:color="000000"/>
          <w:bottom w:val="single" w:sz="4" w:space="1" w:color="000000"/>
          <w:right w:val="single" w:sz="4" w:space="4" w:color="000000"/>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r>
        <w:rPr>
          <w:rFonts w:asciiTheme="majorHAnsi" w:hAnsiTheme="majorHAnsi"/>
          <w:b/>
        </w:rPr>
        <w:t>CONVENTION D’EMPRUNT DU KIT LUMIÈRE</w:t>
      </w:r>
    </w:p>
    <w:p w14:paraId="7F403DE4" w14:textId="77777777" w:rsidR="00377FEE" w:rsidRDefault="00377FEE">
      <w:pPr>
        <w:pBdr>
          <w:top w:val="single" w:sz="4" w:space="1" w:color="000000"/>
          <w:left w:val="single" w:sz="4" w:space="4" w:color="000000"/>
          <w:bottom w:val="single" w:sz="4" w:space="1" w:color="000000"/>
          <w:right w:val="single" w:sz="4" w:space="4" w:color="000000"/>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p>
    <w:p w14:paraId="5E934079" w14:textId="77777777" w:rsidR="00377FEE" w:rsidRDefault="00377FEE">
      <w:pPr>
        <w:tabs>
          <w:tab w:val="left" w:pos="5670"/>
          <w:tab w:val="left" w:pos="6372"/>
          <w:tab w:val="left" w:pos="7080"/>
          <w:tab w:val="left" w:pos="7788"/>
          <w:tab w:val="left" w:pos="8496"/>
          <w:tab w:val="left" w:pos="9204"/>
        </w:tabs>
        <w:spacing w:after="120"/>
        <w:contextualSpacing/>
        <w:jc w:val="both"/>
        <w:rPr>
          <w:rFonts w:asciiTheme="majorHAnsi" w:hAnsiTheme="majorHAnsi"/>
          <w:i/>
          <w:sz w:val="22"/>
          <w:szCs w:val="22"/>
        </w:rPr>
      </w:pPr>
    </w:p>
    <w:p w14:paraId="521D4A55" w14:textId="77777777" w:rsidR="00377FEE" w:rsidRDefault="00377FEE">
      <w:pPr>
        <w:tabs>
          <w:tab w:val="left" w:pos="5670"/>
          <w:tab w:val="left" w:pos="6372"/>
          <w:tab w:val="left" w:pos="7080"/>
          <w:tab w:val="left" w:pos="7788"/>
          <w:tab w:val="left" w:pos="8496"/>
          <w:tab w:val="left" w:pos="9204"/>
        </w:tabs>
        <w:spacing w:after="120"/>
        <w:contextualSpacing/>
        <w:jc w:val="both"/>
        <w:rPr>
          <w:rFonts w:asciiTheme="majorHAnsi" w:hAnsiTheme="majorHAnsi"/>
          <w:i/>
          <w:sz w:val="22"/>
          <w:szCs w:val="22"/>
        </w:rPr>
      </w:pPr>
    </w:p>
    <w:p w14:paraId="48B979B1"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ENTRE LES SOUSSIGNÉS</w:t>
      </w:r>
    </w:p>
    <w:p w14:paraId="0E7E5AD6"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Le RECIT,</w:t>
      </w:r>
    </w:p>
    <w:p w14:paraId="206F8DEC" w14:textId="77777777" w:rsidR="00377FEE" w:rsidRDefault="00000000">
      <w:pPr>
        <w:pStyle w:val="Formatlibre"/>
        <w:spacing w:after="120"/>
        <w:ind w:right="290"/>
        <w:contextualSpacing/>
        <w:jc w:val="both"/>
        <w:rPr>
          <w:rFonts w:asciiTheme="majorHAnsi" w:hAnsiTheme="majorHAnsi"/>
          <w:sz w:val="22"/>
          <w:szCs w:val="22"/>
        </w:rPr>
      </w:pPr>
      <w:r>
        <w:rPr>
          <w:rFonts w:ascii="Calibri" w:eastAsia="Calibri" w:hAnsi="Calibri" w:cs="Calibri"/>
          <w:sz w:val="22"/>
        </w:rPr>
        <w:t>Association Loi 1901</w:t>
      </w:r>
      <w:r>
        <w:rPr>
          <w:rFonts w:asciiTheme="majorHAnsi" w:hAnsiTheme="majorHAnsi"/>
          <w:sz w:val="22"/>
          <w:szCs w:val="22"/>
        </w:rPr>
        <w:t xml:space="preserve">, </w:t>
      </w:r>
    </w:p>
    <w:p w14:paraId="72A469D4"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Domiciliée à la Maison de l’image, au 31 rue Kageneck à Strasbourg (67000),</w:t>
      </w:r>
    </w:p>
    <w:p w14:paraId="287CD4B7" w14:textId="77777777" w:rsidR="00377FEE" w:rsidRDefault="00000000">
      <w:pPr>
        <w:pStyle w:val="Formatlibre"/>
        <w:spacing w:after="120"/>
        <w:ind w:right="290"/>
        <w:contextualSpacing/>
        <w:jc w:val="both"/>
        <w:rPr>
          <w:rFonts w:ascii="Calibri" w:eastAsia="Calibri" w:hAnsi="Calibri" w:cs="Calibri"/>
          <w:sz w:val="22"/>
          <w:szCs w:val="22"/>
        </w:rPr>
      </w:pPr>
      <w:r>
        <w:rPr>
          <w:rFonts w:ascii="Calibri" w:eastAsia="Calibri" w:hAnsi="Calibri" w:cs="Calibri"/>
          <w:sz w:val="22"/>
        </w:rPr>
        <w:t>N° Siret : 43960312700036</w:t>
      </w:r>
    </w:p>
    <w:p w14:paraId="57F93D22" w14:textId="77777777" w:rsidR="00377FEE" w:rsidRDefault="00000000">
      <w:pPr>
        <w:pStyle w:val="Formatlibre"/>
        <w:spacing w:after="120"/>
        <w:ind w:right="290"/>
        <w:contextualSpacing/>
        <w:jc w:val="both"/>
        <w:rPr>
          <w:rFonts w:asciiTheme="majorHAnsi" w:hAnsiTheme="majorHAnsi"/>
          <w:sz w:val="22"/>
          <w:szCs w:val="22"/>
        </w:rPr>
      </w:pPr>
      <w:r>
        <w:rPr>
          <w:rFonts w:ascii="Calibri" w:eastAsia="Calibri" w:hAnsi="Calibri" w:cs="Calibri"/>
          <w:sz w:val="22"/>
        </w:rPr>
        <w:t>Assuré par la MAIF n°3644909B</w:t>
      </w:r>
    </w:p>
    <w:p w14:paraId="0FAB143A"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Représentée par sa Présidente, Madame Laura Cassarino,</w:t>
      </w:r>
    </w:p>
    <w:p w14:paraId="3133A480"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Ci-après dénommée « le RECIT »,</w:t>
      </w:r>
    </w:p>
    <w:p w14:paraId="253A9B84" w14:textId="77777777" w:rsidR="00377FEE" w:rsidRDefault="00000000">
      <w:pPr>
        <w:pStyle w:val="Formatlibre"/>
        <w:spacing w:after="120"/>
        <w:ind w:right="290"/>
        <w:contextualSpacing/>
        <w:rPr>
          <w:rFonts w:asciiTheme="majorHAnsi" w:hAnsiTheme="majorHAnsi"/>
          <w:b/>
          <w:sz w:val="22"/>
          <w:szCs w:val="22"/>
        </w:rPr>
      </w:pPr>
      <w:r>
        <w:rPr>
          <w:rFonts w:asciiTheme="majorHAnsi" w:hAnsiTheme="majorHAnsi"/>
          <w:b/>
          <w:sz w:val="22"/>
          <w:szCs w:val="22"/>
        </w:rPr>
        <w:t>D’une part,</w:t>
      </w:r>
    </w:p>
    <w:p w14:paraId="546CE8B3" w14:textId="77777777" w:rsidR="00377FEE" w:rsidRDefault="00377FEE">
      <w:pPr>
        <w:pStyle w:val="Formatlibre"/>
        <w:spacing w:after="120"/>
        <w:ind w:right="290"/>
        <w:contextualSpacing/>
        <w:rPr>
          <w:rFonts w:asciiTheme="majorHAnsi" w:hAnsiTheme="majorHAnsi"/>
          <w:b/>
          <w:sz w:val="22"/>
          <w:szCs w:val="22"/>
        </w:rPr>
      </w:pPr>
    </w:p>
    <w:p w14:paraId="7127FB62"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ET</w:t>
      </w:r>
    </w:p>
    <w:p w14:paraId="25E3CF12" w14:textId="77777777" w:rsidR="00377FEE" w:rsidRDefault="00377FEE">
      <w:pPr>
        <w:pStyle w:val="Formatlibre"/>
        <w:spacing w:after="120"/>
        <w:ind w:right="290"/>
        <w:contextualSpacing/>
        <w:jc w:val="both"/>
        <w:rPr>
          <w:rFonts w:asciiTheme="majorHAnsi" w:hAnsiTheme="majorHAnsi"/>
          <w:b/>
          <w:sz w:val="22"/>
          <w:szCs w:val="22"/>
        </w:rPr>
      </w:pPr>
    </w:p>
    <w:p w14:paraId="2F8BB1BE"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highlight w:val="yellow"/>
        </w:rPr>
        <w:t xml:space="preserve">Nom de la structure : </w:t>
      </w:r>
    </w:p>
    <w:p w14:paraId="1D2E9573"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SIRET : </w:t>
      </w:r>
    </w:p>
    <w:p w14:paraId="1F2824F0"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Assuré par : </w:t>
      </w:r>
    </w:p>
    <w:p w14:paraId="621DBB97"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Domiciliée au : </w:t>
      </w:r>
    </w:p>
    <w:p w14:paraId="29B276BC"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Représentée par : </w:t>
      </w:r>
    </w:p>
    <w:p w14:paraId="3E81CCD5"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highlight w:val="yellow"/>
        </w:rPr>
        <w:t>Ci-après dénommée « l’UTILISATEUR »,</w:t>
      </w:r>
    </w:p>
    <w:p w14:paraId="149BEC9C" w14:textId="77777777" w:rsidR="00377FEE" w:rsidRDefault="00377FEE">
      <w:pPr>
        <w:pStyle w:val="Formatlibre"/>
        <w:spacing w:after="120"/>
        <w:ind w:right="290"/>
        <w:contextualSpacing/>
        <w:rPr>
          <w:rFonts w:asciiTheme="majorHAnsi" w:hAnsiTheme="majorHAnsi"/>
          <w:b/>
          <w:bCs/>
          <w:sz w:val="22"/>
          <w:szCs w:val="22"/>
        </w:rPr>
      </w:pPr>
    </w:p>
    <w:p w14:paraId="3CD0DF5C" w14:textId="77777777" w:rsidR="00377FEE" w:rsidRDefault="00000000">
      <w:pPr>
        <w:pStyle w:val="Formatlibre"/>
        <w:spacing w:after="120"/>
        <w:ind w:right="290"/>
        <w:contextualSpacing/>
        <w:rPr>
          <w:rFonts w:asciiTheme="majorHAnsi" w:hAnsiTheme="majorHAnsi"/>
          <w:b/>
          <w:bCs/>
          <w:sz w:val="22"/>
          <w:szCs w:val="22"/>
        </w:rPr>
      </w:pPr>
      <w:r>
        <w:rPr>
          <w:rFonts w:asciiTheme="majorHAnsi" w:hAnsiTheme="majorHAnsi"/>
          <w:b/>
          <w:sz w:val="22"/>
          <w:szCs w:val="22"/>
        </w:rPr>
        <w:t>D’autre part.</w:t>
      </w:r>
    </w:p>
    <w:p w14:paraId="34159939"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 Le </w:t>
      </w:r>
      <w:proofErr w:type="gramStart"/>
      <w:r>
        <w:rPr>
          <w:rFonts w:asciiTheme="majorHAnsi" w:hAnsiTheme="majorHAnsi"/>
          <w:sz w:val="22"/>
          <w:szCs w:val="22"/>
        </w:rPr>
        <w:t>RECIT»</w:t>
      </w:r>
      <w:proofErr w:type="gramEnd"/>
      <w:r>
        <w:rPr>
          <w:rFonts w:asciiTheme="majorHAnsi" w:hAnsiTheme="majorHAnsi"/>
          <w:sz w:val="22"/>
          <w:szCs w:val="22"/>
        </w:rPr>
        <w:t xml:space="preserve"> et « l’UTILISATEUR », étant ci-après individuellement dénommées « la Partie » ou collectivement « les Parties ». </w:t>
      </w:r>
    </w:p>
    <w:p w14:paraId="3BA40084" w14:textId="77777777" w:rsidR="00377FEE" w:rsidRDefault="00377FEE">
      <w:pPr>
        <w:pStyle w:val="Formatlibre"/>
        <w:spacing w:after="120"/>
        <w:ind w:right="290"/>
        <w:contextualSpacing/>
        <w:jc w:val="both"/>
        <w:rPr>
          <w:rFonts w:asciiTheme="majorHAnsi" w:hAnsiTheme="majorHAnsi"/>
          <w:sz w:val="22"/>
          <w:szCs w:val="22"/>
        </w:rPr>
      </w:pPr>
    </w:p>
    <w:p w14:paraId="1DB49582" w14:textId="77777777" w:rsidR="00377FEE" w:rsidRDefault="00377FEE">
      <w:pPr>
        <w:pStyle w:val="Formatlibre"/>
        <w:spacing w:after="120"/>
        <w:ind w:right="290"/>
        <w:contextualSpacing/>
        <w:jc w:val="both"/>
        <w:rPr>
          <w:rFonts w:asciiTheme="majorHAnsi" w:hAnsiTheme="majorHAnsi"/>
          <w:sz w:val="22"/>
          <w:szCs w:val="22"/>
        </w:rPr>
      </w:pPr>
    </w:p>
    <w:p w14:paraId="33D84FA1"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b/>
          <w:sz w:val="22"/>
          <w:szCs w:val="22"/>
          <w:u w:val="single"/>
        </w:rPr>
        <w:t>ETANT PRÉALABLEMENT EXPOSÉ CE QUI SUIT </w:t>
      </w:r>
      <w:r>
        <w:rPr>
          <w:rFonts w:asciiTheme="majorHAnsi" w:hAnsiTheme="majorHAnsi"/>
          <w:b/>
          <w:sz w:val="22"/>
          <w:szCs w:val="22"/>
        </w:rPr>
        <w:t>:</w:t>
      </w:r>
    </w:p>
    <w:p w14:paraId="0C739E32" w14:textId="77777777" w:rsidR="00377FEE" w:rsidRDefault="00000000">
      <w:pPr>
        <w:pBdr>
          <w:top w:val="none" w:sz="4" w:space="0" w:color="000000"/>
          <w:left w:val="none" w:sz="4" w:space="0" w:color="000000"/>
          <w:bottom w:val="none" w:sz="4" w:space="0" w:color="000000"/>
          <w:right w:val="none" w:sz="4" w:space="0" w:color="000000"/>
        </w:pBdr>
        <w:jc w:val="both"/>
        <w:rPr>
          <w:rFonts w:ascii="Calibri" w:eastAsia="Calibri" w:hAnsi="Calibri" w:cs="Calibri"/>
          <w:sz w:val="22"/>
          <w:szCs w:val="22"/>
        </w:rPr>
      </w:pPr>
      <w:r>
        <w:rPr>
          <w:rFonts w:ascii="Calibri" w:eastAsia="Calibri" w:hAnsi="Calibri" w:cs="Calibri"/>
          <w:sz w:val="22"/>
          <w:szCs w:val="22"/>
        </w:rPr>
        <w:t>En sa qualité de pôle régional d’éducation aux images, le RECIT est missionné par le ministère de la Culture (CNC, DRAC Grand Est) pour mettre à disposition du matériel audiovisuel et des outils ludiques auprès des structures souhaitant développer des projets d’éducation aux images auprès de leurs publics.</w:t>
      </w:r>
    </w:p>
    <w:p w14:paraId="4A889B50" w14:textId="77777777" w:rsidR="00377FEE" w:rsidRDefault="00000000">
      <w:pPr>
        <w:pBdr>
          <w:top w:val="none" w:sz="4" w:space="0" w:color="000000"/>
          <w:left w:val="none" w:sz="4" w:space="0" w:color="000000"/>
          <w:bottom w:val="none" w:sz="4" w:space="0" w:color="000000"/>
          <w:right w:val="none" w:sz="4" w:space="0" w:color="000000"/>
        </w:pBdr>
        <w:jc w:val="both"/>
        <w:rPr>
          <w:rFonts w:ascii="Calibri" w:eastAsia="Calibri" w:hAnsi="Calibri" w:cs="Calibri"/>
          <w:color w:val="000000" w:themeColor="text1"/>
          <w:sz w:val="22"/>
          <w:szCs w:val="22"/>
        </w:rPr>
      </w:pPr>
      <w:r>
        <w:rPr>
          <w:rFonts w:ascii="Calibri" w:eastAsia="Calibri" w:hAnsi="Calibri" w:cs="Calibri"/>
          <w:sz w:val="22"/>
          <w:szCs w:val="22"/>
        </w:rPr>
        <w:t>Le RECIT a donc développé un centre de ressources varié, empruntable gratuitement par les structures, afin d’accompagner et d’enrichir leur travail autour du cinéma, de l’image et du son. Ce matériel est destiné aux professionnel·les des secteurs associatifs, éducatifs, sociaux médico-sociaux, artistiques ou culturels</w:t>
      </w:r>
      <w:r>
        <w:rPr>
          <w:rFonts w:ascii="Calibri" w:eastAsia="Calibri" w:hAnsi="Calibri" w:cs="Calibri"/>
          <w:color w:val="000000" w:themeColor="text1"/>
          <w:sz w:val="22"/>
          <w:szCs w:val="22"/>
        </w:rPr>
        <w:t xml:space="preserve">. </w:t>
      </w:r>
      <w:r>
        <w:rPr>
          <w:rFonts w:asciiTheme="majorHAnsi" w:hAnsiTheme="majorHAnsi"/>
          <w:color w:val="000000" w:themeColor="text1"/>
          <w:sz w:val="22"/>
          <w:szCs w:val="22"/>
        </w:rPr>
        <w:t>Le RECIT est à l’écoute de leurs besoins et envies.</w:t>
      </w:r>
    </w:p>
    <w:p w14:paraId="75BB19E9" w14:textId="77777777" w:rsidR="00377FEE" w:rsidRDefault="00000000">
      <w:pPr>
        <w:pBdr>
          <w:top w:val="none" w:sz="4" w:space="0" w:color="000000"/>
          <w:left w:val="none" w:sz="4" w:space="0" w:color="000000"/>
          <w:bottom w:val="none" w:sz="4" w:space="0" w:color="000000"/>
          <w:right w:val="none" w:sz="4" w:space="0" w:color="000000"/>
        </w:pBdr>
        <w:jc w:val="both"/>
        <w:rPr>
          <w:rFonts w:ascii="Calibri" w:eastAsia="Calibri" w:hAnsi="Calibri" w:cs="Calibri"/>
          <w:sz w:val="22"/>
          <w:szCs w:val="22"/>
        </w:rPr>
      </w:pPr>
      <w:r>
        <w:rPr>
          <w:rFonts w:ascii="Calibri" w:eastAsia="Calibri" w:hAnsi="Calibri" w:cs="Calibri"/>
          <w:sz w:val="22"/>
          <w:szCs w:val="22"/>
        </w:rPr>
        <w:t xml:space="preserve">La demande d’emprunt de matériel est validée en fonction de sa disponibilité et à la condition qu’une personne de la structure emprunteuse ait suivi un temps de formation préalable proposé par le RECIT. </w:t>
      </w:r>
    </w:p>
    <w:p w14:paraId="25DDF549" w14:textId="77777777" w:rsidR="00377FEE" w:rsidRDefault="00377FEE">
      <w:pPr>
        <w:pBdr>
          <w:top w:val="none" w:sz="4" w:space="0" w:color="000000"/>
          <w:left w:val="none" w:sz="4" w:space="0" w:color="000000"/>
          <w:bottom w:val="none" w:sz="4" w:space="0" w:color="000000"/>
          <w:right w:val="none" w:sz="4" w:space="0" w:color="000000"/>
        </w:pBdr>
        <w:jc w:val="both"/>
        <w:rPr>
          <w:rFonts w:ascii="Calibri" w:eastAsia="Calibri" w:hAnsi="Calibri" w:cs="Calibri"/>
        </w:rPr>
      </w:pPr>
    </w:p>
    <w:p w14:paraId="4F17ABBD" w14:textId="77777777" w:rsidR="00377FEE" w:rsidRDefault="00000000">
      <w:pPr>
        <w:pBdr>
          <w:top w:val="none" w:sz="4" w:space="0" w:color="000000"/>
          <w:left w:val="none" w:sz="4" w:space="0" w:color="000000"/>
          <w:bottom w:val="none" w:sz="4" w:space="0" w:color="000000"/>
          <w:right w:val="none" w:sz="4" w:space="0" w:color="000000"/>
        </w:pBdr>
        <w:jc w:val="both"/>
        <w:rPr>
          <w:rFonts w:asciiTheme="majorHAnsi" w:hAnsiTheme="majorHAnsi"/>
          <w:color w:val="000000" w:themeColor="text1"/>
          <w:sz w:val="22"/>
          <w:szCs w:val="22"/>
        </w:rPr>
      </w:pPr>
      <w:r>
        <w:rPr>
          <w:rFonts w:asciiTheme="majorHAnsi" w:hAnsiTheme="majorHAnsi"/>
          <w:color w:val="000000" w:themeColor="text1"/>
          <w:sz w:val="22"/>
          <w:szCs w:val="22"/>
        </w:rPr>
        <w:t xml:space="preserve">Au sein de son parc de matériel, le RECIT met à disposition </w:t>
      </w:r>
      <w:r>
        <w:rPr>
          <w:rFonts w:asciiTheme="majorHAnsi" w:hAnsiTheme="majorHAnsi"/>
          <w:b/>
          <w:bCs/>
          <w:i/>
          <w:iCs/>
          <w:color w:val="000000" w:themeColor="text1"/>
          <w:sz w:val="22"/>
          <w:szCs w:val="22"/>
        </w:rPr>
        <w:t>deux KITS LUMIÈRE</w:t>
      </w:r>
      <w:r>
        <w:rPr>
          <w:rFonts w:asciiTheme="majorHAnsi" w:hAnsiTheme="majorHAnsi"/>
          <w:color w:val="000000" w:themeColor="text1"/>
          <w:sz w:val="22"/>
          <w:szCs w:val="22"/>
        </w:rPr>
        <w:t xml:space="preserve"> composés chacun </w:t>
      </w:r>
      <w:r>
        <w:rPr>
          <w:rFonts w:asciiTheme="majorHAnsi" w:hAnsiTheme="majorHAnsi"/>
          <w:b/>
          <w:bCs/>
          <w:color w:val="000000" w:themeColor="text1"/>
          <w:sz w:val="22"/>
          <w:szCs w:val="22"/>
        </w:rPr>
        <w:t xml:space="preserve">d’une sacoche </w:t>
      </w:r>
      <w:r>
        <w:rPr>
          <w:rFonts w:asciiTheme="majorHAnsi" w:hAnsiTheme="majorHAnsi"/>
          <w:color w:val="000000" w:themeColor="text1"/>
          <w:sz w:val="22"/>
          <w:szCs w:val="22"/>
        </w:rPr>
        <w:t xml:space="preserve">(cf. détail dans l’annexe 2, p. 5) </w:t>
      </w:r>
      <w:r>
        <w:rPr>
          <w:rFonts w:asciiTheme="majorHAnsi" w:hAnsiTheme="majorHAnsi"/>
          <w:b/>
          <w:bCs/>
          <w:color w:val="000000" w:themeColor="text1"/>
          <w:sz w:val="22"/>
          <w:szCs w:val="22"/>
        </w:rPr>
        <w:t>et d’un réflecteur modulable,</w:t>
      </w:r>
      <w:r>
        <w:rPr>
          <w:rFonts w:asciiTheme="majorHAnsi" w:hAnsiTheme="majorHAnsi"/>
          <w:color w:val="000000" w:themeColor="text1"/>
          <w:sz w:val="22"/>
          <w:szCs w:val="22"/>
        </w:rPr>
        <w:t xml:space="preserve"> ainsi que, sur demande, d’un enrouleur. </w:t>
      </w:r>
    </w:p>
    <w:p w14:paraId="5A2450AB" w14:textId="77777777" w:rsidR="00377FEE" w:rsidRDefault="00377FEE">
      <w:pPr>
        <w:pStyle w:val="Formatlibre"/>
        <w:spacing w:after="120"/>
        <w:ind w:right="290"/>
        <w:contextualSpacing/>
        <w:jc w:val="both"/>
        <w:rPr>
          <w:rFonts w:asciiTheme="majorHAnsi" w:hAnsiTheme="majorHAnsi"/>
          <w:sz w:val="24"/>
          <w:szCs w:val="24"/>
        </w:rPr>
      </w:pPr>
    </w:p>
    <w:p w14:paraId="3E379640" w14:textId="77777777" w:rsidR="00377FEE" w:rsidRDefault="00377FEE">
      <w:pPr>
        <w:pStyle w:val="Formatlibre"/>
        <w:spacing w:after="120"/>
        <w:ind w:right="290"/>
        <w:contextualSpacing/>
        <w:jc w:val="both"/>
        <w:rPr>
          <w:rFonts w:asciiTheme="majorHAnsi" w:hAnsiTheme="majorHAnsi"/>
          <w:sz w:val="24"/>
          <w:szCs w:val="24"/>
        </w:rPr>
      </w:pPr>
    </w:p>
    <w:p w14:paraId="758BDED4" w14:textId="77777777" w:rsidR="00377FEE" w:rsidRDefault="00000000">
      <w:pPr>
        <w:pStyle w:val="Formatlibre"/>
        <w:spacing w:after="120"/>
        <w:ind w:right="290"/>
        <w:contextualSpacing/>
        <w:jc w:val="both"/>
        <w:rPr>
          <w:rFonts w:asciiTheme="majorHAnsi" w:hAnsiTheme="majorHAnsi"/>
          <w:b/>
          <w:bCs/>
          <w:sz w:val="22"/>
          <w:szCs w:val="22"/>
          <w:u w:val="single"/>
        </w:rPr>
      </w:pPr>
      <w:r>
        <w:rPr>
          <w:rFonts w:asciiTheme="majorHAnsi" w:hAnsiTheme="majorHAnsi"/>
          <w:b/>
          <w:sz w:val="22"/>
          <w:szCs w:val="22"/>
          <w:u w:val="single"/>
        </w:rPr>
        <w:t xml:space="preserve">CECI AYANT ÉTÉ RAPPELÉ, IL A ÉTÉ CONVENU ET ARRÊTÉ CE QUI SUIT : </w:t>
      </w:r>
    </w:p>
    <w:p w14:paraId="11F05318" w14:textId="77777777" w:rsidR="00377FEE" w:rsidRDefault="00377FEE">
      <w:pPr>
        <w:pStyle w:val="Formatlibre"/>
        <w:spacing w:after="120"/>
        <w:ind w:right="290"/>
        <w:contextualSpacing/>
        <w:jc w:val="both"/>
        <w:rPr>
          <w:rFonts w:asciiTheme="majorHAnsi" w:hAnsiTheme="majorHAnsi"/>
          <w:sz w:val="22"/>
          <w:szCs w:val="22"/>
        </w:rPr>
      </w:pPr>
    </w:p>
    <w:p w14:paraId="4BB07EBC" w14:textId="77777777" w:rsidR="00377FEE" w:rsidRDefault="00000000">
      <w:pPr>
        <w:pStyle w:val="Formatlibre"/>
        <w:spacing w:after="120"/>
        <w:ind w:right="290"/>
        <w:contextualSpacing/>
        <w:jc w:val="both"/>
        <w:rPr>
          <w:rFonts w:asciiTheme="majorHAnsi" w:hAnsiTheme="majorHAnsi"/>
          <w:b/>
          <w:bCs/>
          <w:sz w:val="22"/>
          <w:szCs w:val="22"/>
        </w:rPr>
      </w:pPr>
      <w:r>
        <w:rPr>
          <w:rFonts w:asciiTheme="majorHAnsi" w:hAnsiTheme="majorHAnsi"/>
          <w:b/>
          <w:sz w:val="22"/>
          <w:szCs w:val="22"/>
        </w:rPr>
        <w:t>ARTICLE 1 : OBJET DE LA CONVENTION</w:t>
      </w:r>
    </w:p>
    <w:p w14:paraId="4CFAC2EB"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La présente Convention a pour objet de définir les conditions dans lesquelles l’UTILISATEUR est autorisé à utiliser le matériel de tournage tel que listé à l’Article 2.</w:t>
      </w:r>
    </w:p>
    <w:p w14:paraId="4B149C4B"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La conclusion de cette Convention entraîne l’acceptation des conditions d’utilisation de ce Matériel telles qu’elles figurent dans l’article 3.</w:t>
      </w:r>
    </w:p>
    <w:p w14:paraId="70BCCACD" w14:textId="77777777" w:rsidR="00377FEE" w:rsidRDefault="00377FEE">
      <w:pPr>
        <w:pStyle w:val="Formatlibre"/>
        <w:spacing w:after="120"/>
        <w:ind w:right="290"/>
        <w:contextualSpacing/>
        <w:jc w:val="both"/>
        <w:rPr>
          <w:rFonts w:asciiTheme="majorHAnsi" w:hAnsiTheme="majorHAnsi"/>
          <w:b/>
          <w:sz w:val="22"/>
          <w:szCs w:val="22"/>
        </w:rPr>
      </w:pPr>
    </w:p>
    <w:p w14:paraId="15BD0759"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ARTICLE 2 : MISE À DISPOSITION DU MATÉRIEL ET DURÉE</w:t>
      </w:r>
    </w:p>
    <w:p w14:paraId="0FCF91F7"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La présente Convention autorise</w:t>
      </w:r>
      <w:r>
        <w:rPr>
          <w:rFonts w:asciiTheme="majorHAnsi" w:hAnsiTheme="majorHAnsi"/>
          <w:color w:val="548DD4" w:themeColor="text2" w:themeTint="99"/>
          <w:sz w:val="22"/>
          <w:szCs w:val="22"/>
        </w:rPr>
        <w:t xml:space="preserve"> </w:t>
      </w:r>
      <w:r>
        <w:rPr>
          <w:rFonts w:asciiTheme="majorHAnsi" w:hAnsiTheme="majorHAnsi"/>
          <w:color w:val="000000" w:themeColor="text1"/>
          <w:sz w:val="22"/>
          <w:szCs w:val="22"/>
        </w:rPr>
        <w:t xml:space="preserve">l’emprunt d’un seul kit lumière </w:t>
      </w:r>
      <w:r>
        <w:rPr>
          <w:rFonts w:asciiTheme="majorHAnsi" w:hAnsiTheme="majorHAnsi"/>
          <w:sz w:val="22"/>
          <w:szCs w:val="22"/>
        </w:rPr>
        <w:t>pour une durée de</w:t>
      </w:r>
      <w:r>
        <w:rPr>
          <w:rFonts w:asciiTheme="majorHAnsi" w:hAnsiTheme="majorHAnsi"/>
          <w:b/>
          <w:bCs/>
          <w:sz w:val="22"/>
          <w:szCs w:val="22"/>
        </w:rPr>
        <w:t xml:space="preserve"> 2 semaines maximum</w:t>
      </w:r>
      <w:r>
        <w:rPr>
          <w:rFonts w:asciiTheme="majorHAnsi" w:hAnsiTheme="majorHAnsi"/>
          <w:sz w:val="22"/>
          <w:szCs w:val="22"/>
        </w:rPr>
        <w:t>.</w:t>
      </w:r>
    </w:p>
    <w:p w14:paraId="291F5FCA" w14:textId="77777777" w:rsidR="00377FEE" w:rsidRDefault="00377FEE">
      <w:pPr>
        <w:pStyle w:val="Formatlibre"/>
        <w:spacing w:after="120"/>
        <w:ind w:right="290"/>
        <w:contextualSpacing/>
        <w:jc w:val="both"/>
        <w:rPr>
          <w:rFonts w:asciiTheme="majorHAnsi" w:hAnsiTheme="majorHAnsi"/>
          <w:b/>
          <w:sz w:val="22"/>
          <w:szCs w:val="22"/>
          <w:u w:val="single"/>
        </w:rPr>
      </w:pPr>
    </w:p>
    <w:p w14:paraId="33AA7E8F" w14:textId="77777777" w:rsidR="00377FEE" w:rsidRDefault="00377FEE">
      <w:pPr>
        <w:pStyle w:val="Formatlibre"/>
        <w:spacing w:after="120"/>
        <w:ind w:right="290"/>
        <w:contextualSpacing/>
        <w:jc w:val="both"/>
        <w:rPr>
          <w:rFonts w:asciiTheme="majorHAnsi" w:hAnsiTheme="majorHAnsi"/>
          <w:b/>
          <w:sz w:val="22"/>
          <w:szCs w:val="22"/>
          <w:u w:val="single"/>
        </w:rPr>
      </w:pPr>
    </w:p>
    <w:p w14:paraId="2EC5F3F0" w14:textId="77777777" w:rsidR="00377FEE" w:rsidRDefault="00000000">
      <w:pPr>
        <w:pStyle w:val="Formatlibre"/>
        <w:spacing w:after="120"/>
        <w:ind w:right="290"/>
        <w:contextualSpacing/>
        <w:jc w:val="both"/>
        <w:rPr>
          <w:rFonts w:asciiTheme="majorHAnsi" w:hAnsiTheme="majorHAnsi"/>
          <w:b/>
          <w:sz w:val="22"/>
          <w:szCs w:val="22"/>
          <w:u w:val="single"/>
        </w:rPr>
      </w:pPr>
      <w:r>
        <w:rPr>
          <w:rFonts w:asciiTheme="majorHAnsi" w:hAnsiTheme="majorHAnsi"/>
          <w:b/>
          <w:sz w:val="22"/>
          <w:szCs w:val="22"/>
          <w:u w:val="single"/>
        </w:rPr>
        <w:t>Pour les besoins suivants :</w:t>
      </w:r>
    </w:p>
    <w:p w14:paraId="7B2C1CAB"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Nature de l’événement : </w:t>
      </w:r>
    </w:p>
    <w:p w14:paraId="6654CE32"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Date(s) de location : </w:t>
      </w:r>
    </w:p>
    <w:p w14:paraId="5E773A97"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Transport / Date de l’enlèvement  </w:t>
      </w:r>
    </w:p>
    <w:p w14:paraId="1F0F9850" w14:textId="77777777" w:rsidR="00377FEE" w:rsidRDefault="00000000">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Transport / Date de retour : </w:t>
      </w:r>
    </w:p>
    <w:p w14:paraId="3452E64B" w14:textId="77777777" w:rsidR="00377FEE" w:rsidRDefault="00377FEE">
      <w:pPr>
        <w:pStyle w:val="Formatlibre"/>
        <w:spacing w:after="120"/>
        <w:ind w:right="290"/>
        <w:contextualSpacing/>
        <w:jc w:val="both"/>
        <w:rPr>
          <w:rFonts w:asciiTheme="majorHAnsi" w:hAnsiTheme="majorHAnsi"/>
          <w:sz w:val="22"/>
          <w:szCs w:val="22"/>
        </w:rPr>
      </w:pPr>
    </w:p>
    <w:p w14:paraId="6B598BAF"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Sauf cas particulier qui sera notifié à l’UTILISATEUR avant le début de l’évènement, l’enlèvement et le retour du Matériel se font impérativement depuis et vers les locaux du RECIT. </w:t>
      </w:r>
    </w:p>
    <w:p w14:paraId="65509A81"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cs="Helvetica"/>
          <w:sz w:val="22"/>
          <w:szCs w:val="22"/>
        </w:rPr>
        <w:t>Si des arrangements particuliers sont trouvés entre les structures qui empruntent le matériel sur des périodes consécutives, ces dernières sont priées de faire valider au préalable par le RECIT les mouvements du matériel. Les deux utilisateurs concernés devront procéder ensemble à la vérification de l’état du matériel et signaler au RECIT toute irrégularité.</w:t>
      </w:r>
    </w:p>
    <w:p w14:paraId="60443049" w14:textId="77777777" w:rsidR="00377FEE" w:rsidRDefault="00377FEE">
      <w:pPr>
        <w:pStyle w:val="Formatlibre"/>
        <w:ind w:right="289"/>
        <w:contextualSpacing/>
        <w:jc w:val="both"/>
        <w:rPr>
          <w:rFonts w:asciiTheme="majorHAnsi" w:hAnsiTheme="majorHAnsi"/>
          <w:sz w:val="22"/>
          <w:szCs w:val="22"/>
        </w:rPr>
      </w:pPr>
    </w:p>
    <w:p w14:paraId="32FD502A" w14:textId="77777777" w:rsidR="00377FEE" w:rsidRDefault="00000000">
      <w:pPr>
        <w:pStyle w:val="Formatlibre"/>
        <w:ind w:right="289"/>
        <w:contextualSpacing/>
        <w:jc w:val="both"/>
        <w:rPr>
          <w:rFonts w:asciiTheme="majorHAnsi" w:hAnsiTheme="majorHAnsi"/>
          <w:sz w:val="22"/>
          <w:szCs w:val="22"/>
        </w:rPr>
      </w:pPr>
      <w:r>
        <w:rPr>
          <w:rFonts w:asciiTheme="majorHAnsi" w:hAnsiTheme="majorHAnsi"/>
          <w:sz w:val="22"/>
          <w:szCs w:val="22"/>
        </w:rPr>
        <w:t>Toute cession de la présente Convention à un tiers est formellement interdite.</w:t>
      </w:r>
    </w:p>
    <w:p w14:paraId="3AF92776" w14:textId="77777777" w:rsidR="00377FEE" w:rsidRDefault="00377FEE">
      <w:pPr>
        <w:pStyle w:val="Formatlibre"/>
        <w:spacing w:after="120"/>
        <w:ind w:right="290"/>
        <w:contextualSpacing/>
        <w:jc w:val="both"/>
        <w:rPr>
          <w:rFonts w:asciiTheme="majorHAnsi" w:hAnsiTheme="majorHAnsi"/>
          <w:b/>
          <w:sz w:val="22"/>
          <w:szCs w:val="22"/>
        </w:rPr>
      </w:pPr>
    </w:p>
    <w:p w14:paraId="036BA94C" w14:textId="77777777" w:rsidR="00377FEE" w:rsidRDefault="00000000">
      <w:pPr>
        <w:pStyle w:val="Formatlibre"/>
        <w:ind w:right="289"/>
        <w:contextualSpacing/>
        <w:jc w:val="both"/>
        <w:rPr>
          <w:rFonts w:asciiTheme="majorHAnsi" w:hAnsiTheme="majorHAnsi"/>
          <w:b/>
          <w:sz w:val="22"/>
          <w:szCs w:val="22"/>
        </w:rPr>
      </w:pPr>
      <w:r>
        <w:rPr>
          <w:rFonts w:asciiTheme="majorHAnsi" w:hAnsiTheme="majorHAnsi"/>
          <w:b/>
          <w:sz w:val="22"/>
          <w:szCs w:val="22"/>
        </w:rPr>
        <w:t>ARTICLE 3 : UTILISATION</w:t>
      </w:r>
    </w:p>
    <w:p w14:paraId="544A6A67"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L’UTILISATEUR restera garant vis-à-vis du RECIT de la bonne utilisation du Matériel jusqu’à sa restitution. </w:t>
      </w:r>
    </w:p>
    <w:p w14:paraId="45E0C82F" w14:textId="77777777" w:rsidR="00377FEE" w:rsidRDefault="00377FEE">
      <w:pPr>
        <w:pStyle w:val="Formatlibre"/>
        <w:spacing w:after="120"/>
        <w:ind w:right="290"/>
        <w:contextualSpacing/>
        <w:jc w:val="both"/>
        <w:rPr>
          <w:rFonts w:asciiTheme="majorHAnsi" w:hAnsiTheme="majorHAnsi"/>
          <w:b/>
          <w:sz w:val="22"/>
          <w:szCs w:val="22"/>
        </w:rPr>
      </w:pPr>
    </w:p>
    <w:p w14:paraId="5B6C99F3"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ARTICLE 4 : PRIX ET GARANTIES</w:t>
      </w:r>
    </w:p>
    <w:p w14:paraId="705AE82D"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L’emprunt du kit est gratuit. </w:t>
      </w:r>
    </w:p>
    <w:p w14:paraId="6A89EB93" w14:textId="77777777" w:rsidR="00377FEE" w:rsidRDefault="00377FEE">
      <w:pPr>
        <w:pStyle w:val="Formatlibre"/>
        <w:spacing w:after="120"/>
        <w:ind w:right="290"/>
        <w:contextualSpacing/>
        <w:jc w:val="both"/>
        <w:rPr>
          <w:rFonts w:asciiTheme="majorHAnsi" w:hAnsiTheme="majorHAnsi"/>
          <w:sz w:val="22"/>
          <w:szCs w:val="22"/>
        </w:rPr>
      </w:pPr>
    </w:p>
    <w:p w14:paraId="481F4F87"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Un état du matériel établi au moment de son enlèvement est joint en annexe 2 de la présente Convention. De même, un état du Matériel sera établi au moment de sa restitution.</w:t>
      </w:r>
    </w:p>
    <w:p w14:paraId="743AC1CF" w14:textId="77777777" w:rsidR="00377FEE" w:rsidRDefault="00377FEE">
      <w:pPr>
        <w:pStyle w:val="Formatlibre"/>
        <w:spacing w:after="120"/>
        <w:ind w:right="290"/>
        <w:contextualSpacing/>
        <w:jc w:val="both"/>
        <w:rPr>
          <w:rFonts w:asciiTheme="majorHAnsi" w:hAnsiTheme="majorHAnsi"/>
          <w:b/>
          <w:sz w:val="22"/>
          <w:szCs w:val="22"/>
        </w:rPr>
      </w:pPr>
    </w:p>
    <w:p w14:paraId="0D2A2541"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ARTICLE 5 : RESPONSABILITÉ ET ASSURANCE</w:t>
      </w:r>
    </w:p>
    <w:p w14:paraId="24E3D641"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L’UTILISATEUR s’engage à assurer le kit Lumière (dont la valeur de l’ensemble est estimée à 400 euros) pendant la période de prêt </w:t>
      </w:r>
      <w:r>
        <w:rPr>
          <w:rFonts w:asciiTheme="majorHAnsi" w:hAnsiTheme="majorHAnsi"/>
          <w:color w:val="auto"/>
          <w:sz w:val="22"/>
          <w:szCs w:val="22"/>
        </w:rPr>
        <w:t>transport inclus</w:t>
      </w:r>
      <w:r>
        <w:rPr>
          <w:rFonts w:asciiTheme="majorHAnsi" w:hAnsiTheme="majorHAnsi"/>
          <w:sz w:val="22"/>
          <w:szCs w:val="22"/>
        </w:rPr>
        <w:t>. En cas de sinistre, dégradation, perte ou vol du kit, l’UTILISATEUR demeure entièrement responsable des dommages matériels causés, sans que la responsabilité du RECIT ne puisse être recherchée. L’UTILISATEUR devra alors rembourser le matériel endommagé. Voir en annexe 1 la « police d’assurance ».</w:t>
      </w:r>
    </w:p>
    <w:p w14:paraId="539F3276"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Il est entendu que tous dommages résultant d’une utilisation non conforme du Matériel et non couverts par cette garantie pourront entraîner la responsabilité de l’UTILISATEUR. </w:t>
      </w:r>
    </w:p>
    <w:p w14:paraId="1D5FB136" w14:textId="77777777" w:rsidR="00377FEE" w:rsidRDefault="00377FEE">
      <w:pPr>
        <w:pStyle w:val="Formatlibre"/>
        <w:spacing w:after="120"/>
        <w:ind w:right="290"/>
        <w:contextualSpacing/>
        <w:jc w:val="both"/>
        <w:rPr>
          <w:rFonts w:asciiTheme="majorHAnsi" w:hAnsiTheme="majorHAnsi"/>
          <w:sz w:val="22"/>
          <w:szCs w:val="22"/>
        </w:rPr>
      </w:pPr>
    </w:p>
    <w:p w14:paraId="7B1E1E02"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ARTICLE 6 : DATE D’EFFET ET DURÉE</w:t>
      </w:r>
    </w:p>
    <w:p w14:paraId="4D72382C" w14:textId="77777777" w:rsidR="00377FEE" w:rsidRDefault="00000000">
      <w:pPr>
        <w:pStyle w:val="Formatlibre"/>
        <w:spacing w:after="120"/>
        <w:ind w:right="290"/>
        <w:contextualSpacing/>
        <w:jc w:val="both"/>
        <w:rPr>
          <w:rFonts w:asciiTheme="majorHAnsi" w:hAnsiTheme="majorHAnsi"/>
          <w:sz w:val="22"/>
          <w:szCs w:val="22"/>
        </w:rPr>
      </w:pPr>
      <w:r>
        <w:rPr>
          <w:rFonts w:asciiTheme="majorHAnsi" w:hAnsiTheme="majorHAnsi"/>
          <w:sz w:val="22"/>
          <w:szCs w:val="22"/>
        </w:rPr>
        <w:t>La présente Convention prend effet à compter de la date de début de prêt.</w:t>
      </w:r>
    </w:p>
    <w:p w14:paraId="31E1DD28" w14:textId="77777777" w:rsidR="00377FEE" w:rsidRDefault="00377FEE">
      <w:pPr>
        <w:pStyle w:val="Formatlibre"/>
        <w:spacing w:after="120"/>
        <w:ind w:right="290"/>
        <w:contextualSpacing/>
        <w:jc w:val="both"/>
        <w:rPr>
          <w:rFonts w:asciiTheme="majorHAnsi" w:hAnsiTheme="majorHAnsi"/>
          <w:sz w:val="22"/>
          <w:szCs w:val="22"/>
        </w:rPr>
      </w:pPr>
    </w:p>
    <w:p w14:paraId="40EE13F5"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lastRenderedPageBreak/>
        <w:t xml:space="preserve">ARTICLE 7 : RÉSILIATION </w:t>
      </w:r>
    </w:p>
    <w:p w14:paraId="08808256" w14:textId="77777777" w:rsidR="00377FEE" w:rsidRDefault="00000000">
      <w:pPr>
        <w:pStyle w:val="Formatlib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contextualSpacing/>
        <w:jc w:val="both"/>
        <w:rPr>
          <w:rFonts w:asciiTheme="majorHAnsi" w:hAnsiTheme="majorHAnsi"/>
          <w:sz w:val="22"/>
          <w:szCs w:val="22"/>
        </w:rPr>
      </w:pPr>
      <w:r>
        <w:rPr>
          <w:rFonts w:asciiTheme="majorHAnsi" w:hAnsiTheme="majorHAnsi"/>
          <w:sz w:val="22"/>
          <w:szCs w:val="22"/>
        </w:rPr>
        <w:t xml:space="preserve">En cas d’inexécution par l’une ou l’autre des Parties de tout ou partie des obligations prévues par la présente Convention, celle-ci sera résiliée de plein droit aux torts exclusifs de la Partie défaillante. </w:t>
      </w:r>
    </w:p>
    <w:p w14:paraId="4514D909" w14:textId="77777777" w:rsidR="00377FEE" w:rsidRDefault="00377FEE">
      <w:pPr>
        <w:pStyle w:val="Formatlib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contextualSpacing/>
        <w:jc w:val="both"/>
        <w:rPr>
          <w:rFonts w:asciiTheme="majorHAnsi" w:hAnsiTheme="majorHAnsi"/>
          <w:sz w:val="22"/>
          <w:szCs w:val="22"/>
        </w:rPr>
      </w:pPr>
    </w:p>
    <w:p w14:paraId="4BD70629" w14:textId="77777777" w:rsidR="00377FEE" w:rsidRDefault="00000000">
      <w:pPr>
        <w:pStyle w:val="Formatlibre"/>
        <w:spacing w:after="120"/>
        <w:ind w:right="290"/>
        <w:contextualSpacing/>
        <w:jc w:val="both"/>
        <w:rPr>
          <w:rFonts w:asciiTheme="majorHAnsi" w:hAnsiTheme="majorHAnsi"/>
          <w:b/>
          <w:sz w:val="22"/>
          <w:szCs w:val="22"/>
        </w:rPr>
      </w:pPr>
      <w:r>
        <w:rPr>
          <w:rFonts w:asciiTheme="majorHAnsi" w:hAnsiTheme="majorHAnsi"/>
          <w:b/>
          <w:sz w:val="22"/>
          <w:szCs w:val="22"/>
        </w:rPr>
        <w:t>ARTICLE 8 : DIFFÉREND</w:t>
      </w:r>
    </w:p>
    <w:p w14:paraId="13142F36" w14:textId="77777777" w:rsidR="00377FEE" w:rsidRDefault="00000000">
      <w:pPr>
        <w:pStyle w:val="Formatlibre"/>
        <w:spacing w:after="120"/>
        <w:ind w:right="-6"/>
        <w:contextualSpacing/>
        <w:jc w:val="both"/>
        <w:rPr>
          <w:rFonts w:asciiTheme="majorHAnsi" w:hAnsiTheme="majorHAnsi"/>
          <w:sz w:val="22"/>
          <w:szCs w:val="22"/>
        </w:rPr>
      </w:pPr>
      <w:r>
        <w:rPr>
          <w:rFonts w:asciiTheme="majorHAnsi" w:hAnsiTheme="majorHAnsi"/>
          <w:sz w:val="22"/>
          <w:szCs w:val="22"/>
        </w:rPr>
        <w:t xml:space="preserve">Tout différend relatif à l’exécution ou à l’interprétation des termes de la présente Convention sera réglé par voie amiable. A défaut de résolution amiable, le litige sera porté devant les tribunaux compétents de Strasbourg. </w:t>
      </w:r>
    </w:p>
    <w:p w14:paraId="0863D5B4" w14:textId="77777777" w:rsidR="00377FEE" w:rsidRDefault="00000000">
      <w:pPr>
        <w:contextualSpacing/>
        <w:jc w:val="both"/>
        <w:rPr>
          <w:rFonts w:asciiTheme="majorHAnsi" w:hAnsiTheme="majorHAnsi"/>
          <w:sz w:val="22"/>
          <w:szCs w:val="22"/>
        </w:rPr>
      </w:pPr>
      <w:r>
        <w:rPr>
          <w:rFonts w:asciiTheme="majorHAnsi" w:hAnsiTheme="majorHAnsi"/>
          <w:sz w:val="22"/>
          <w:szCs w:val="22"/>
        </w:rPr>
        <w:t>La présente Convention est établie en 2 exemplaires originaux, chacune des Parties reconnaissant avoir reçu le sien.</w:t>
      </w:r>
    </w:p>
    <w:p w14:paraId="790A1EDF" w14:textId="77777777" w:rsidR="00377FEE" w:rsidRDefault="00377FEE">
      <w:pPr>
        <w:contextualSpacing/>
        <w:jc w:val="both"/>
        <w:rPr>
          <w:rFonts w:asciiTheme="majorHAnsi" w:hAnsiTheme="majorHAnsi"/>
          <w:sz w:val="22"/>
          <w:szCs w:val="22"/>
          <w:lang w:eastAsia="fr-FR"/>
        </w:rPr>
      </w:pPr>
    </w:p>
    <w:p w14:paraId="144F51F7" w14:textId="77777777" w:rsidR="00377FEE" w:rsidRDefault="00000000">
      <w:pPr>
        <w:pStyle w:val="Formatlibre"/>
        <w:spacing w:after="120"/>
        <w:ind w:right="290"/>
        <w:contextualSpacing/>
        <w:jc w:val="both"/>
        <w:rPr>
          <w:rFonts w:asciiTheme="majorHAnsi" w:hAnsiTheme="majorHAnsi"/>
          <w:i/>
          <w:sz w:val="22"/>
          <w:szCs w:val="22"/>
        </w:rPr>
      </w:pPr>
      <w:r>
        <w:rPr>
          <w:rFonts w:asciiTheme="majorHAnsi" w:hAnsiTheme="majorHAnsi"/>
          <w:sz w:val="22"/>
          <w:szCs w:val="22"/>
          <w:highlight w:val="yellow"/>
        </w:rPr>
        <w:t>Fait à Strasbourg, le</w:t>
      </w:r>
      <w:r>
        <w:rPr>
          <w:rFonts w:asciiTheme="majorHAnsi" w:hAnsiTheme="majorHAnsi"/>
          <w:sz w:val="22"/>
          <w:szCs w:val="22"/>
        </w:rPr>
        <w:t xml:space="preserve"> </w:t>
      </w:r>
    </w:p>
    <w:p w14:paraId="42083B6F" w14:textId="77777777" w:rsidR="00377FEE" w:rsidRDefault="00377FEE">
      <w:pPr>
        <w:pStyle w:val="Formatlibre"/>
        <w:spacing w:after="120"/>
        <w:ind w:right="290"/>
        <w:contextualSpacing/>
        <w:jc w:val="both"/>
        <w:rPr>
          <w:rFonts w:asciiTheme="majorHAnsi" w:hAnsiTheme="majorHAnsi"/>
          <w:sz w:val="22"/>
          <w:szCs w:val="22"/>
        </w:rPr>
      </w:pPr>
    </w:p>
    <w:p w14:paraId="50DCEED6" w14:textId="77777777" w:rsidR="00377FEE" w:rsidRDefault="00377FEE">
      <w:pPr>
        <w:pStyle w:val="Formatlibre"/>
        <w:spacing w:after="120"/>
        <w:ind w:right="290"/>
        <w:contextualSpacing/>
        <w:jc w:val="both"/>
        <w:rPr>
          <w:rFonts w:asciiTheme="majorHAnsi" w:hAnsiTheme="majorHAnsi"/>
          <w:sz w:val="22"/>
          <w:szCs w:val="22"/>
        </w:rPr>
      </w:pPr>
    </w:p>
    <w:p w14:paraId="46C35598" w14:textId="77777777" w:rsidR="00377FEE" w:rsidRDefault="00000000">
      <w:pPr>
        <w:pStyle w:val="Formatlibre"/>
        <w:tabs>
          <w:tab w:val="left" w:pos="6720"/>
        </w:tabs>
        <w:spacing w:after="120"/>
        <w:contextualSpacing/>
        <w:jc w:val="both"/>
        <w:rPr>
          <w:rFonts w:asciiTheme="majorHAnsi" w:hAnsiTheme="majorHAnsi"/>
          <w:sz w:val="22"/>
          <w:szCs w:val="22"/>
        </w:rPr>
      </w:pPr>
      <w:r>
        <w:rPr>
          <w:rFonts w:asciiTheme="majorHAnsi" w:hAnsiTheme="majorHAnsi"/>
          <w:sz w:val="22"/>
          <w:szCs w:val="22"/>
        </w:rPr>
        <w:t>Pour le RECIT</w:t>
      </w:r>
      <w:r>
        <w:rPr>
          <w:rFonts w:asciiTheme="majorHAnsi" w:hAnsiTheme="majorHAnsi"/>
          <w:sz w:val="22"/>
          <w:szCs w:val="22"/>
        </w:rPr>
        <w:tab/>
      </w:r>
      <w:r>
        <w:rPr>
          <w:rFonts w:asciiTheme="majorHAnsi" w:hAnsiTheme="majorHAnsi"/>
          <w:sz w:val="22"/>
          <w:szCs w:val="22"/>
          <w:highlight w:val="yellow"/>
        </w:rPr>
        <w:t>Pour L’UTILISATEUR</w:t>
      </w:r>
    </w:p>
    <w:p w14:paraId="4EB7777E" w14:textId="77777777" w:rsidR="00377FEE" w:rsidRDefault="00000000">
      <w:pPr>
        <w:pStyle w:val="Formatlibre"/>
        <w:tabs>
          <w:tab w:val="left" w:pos="6720"/>
        </w:tabs>
        <w:spacing w:after="120"/>
        <w:contextualSpacing/>
        <w:jc w:val="both"/>
        <w:rPr>
          <w:rFonts w:asciiTheme="majorHAnsi" w:hAnsiTheme="majorHAnsi"/>
          <w:sz w:val="22"/>
          <w:szCs w:val="22"/>
        </w:rPr>
      </w:pPr>
      <w:r>
        <w:rPr>
          <w:rFonts w:asciiTheme="majorHAnsi" w:hAnsiTheme="majorHAnsi"/>
          <w:sz w:val="22"/>
          <w:szCs w:val="22"/>
        </w:rPr>
        <w:t>CASSARINO LAURA,</w:t>
      </w:r>
      <w:r>
        <w:rPr>
          <w:rFonts w:asciiTheme="majorHAnsi" w:hAnsiTheme="majorHAnsi"/>
          <w:sz w:val="22"/>
          <w:szCs w:val="22"/>
        </w:rPr>
        <w:tab/>
        <w:t>NOM Prénom</w:t>
      </w:r>
    </w:p>
    <w:p w14:paraId="6F6FFD5A" w14:textId="77777777" w:rsidR="00377FEE" w:rsidRDefault="00000000">
      <w:pPr>
        <w:pStyle w:val="Formatlibre"/>
        <w:tabs>
          <w:tab w:val="left" w:pos="6720"/>
        </w:tabs>
        <w:spacing w:after="120"/>
        <w:contextualSpacing/>
        <w:jc w:val="both"/>
        <w:rPr>
          <w:rFonts w:asciiTheme="majorHAnsi" w:hAnsiTheme="majorHAnsi"/>
          <w:sz w:val="22"/>
          <w:szCs w:val="22"/>
        </w:rPr>
      </w:pPr>
      <w:r>
        <w:rPr>
          <w:rFonts w:asciiTheme="majorHAnsi" w:hAnsiTheme="majorHAnsi"/>
          <w:sz w:val="22"/>
          <w:szCs w:val="22"/>
        </w:rPr>
        <w:t>Présidente</w:t>
      </w:r>
      <w:r>
        <w:rPr>
          <w:rFonts w:asciiTheme="majorHAnsi" w:hAnsiTheme="majorHAnsi"/>
          <w:sz w:val="22"/>
          <w:szCs w:val="22"/>
        </w:rPr>
        <w:tab/>
        <w:t>Poste</w:t>
      </w:r>
    </w:p>
    <w:p w14:paraId="36576B12" w14:textId="77777777" w:rsidR="00377FEE" w:rsidRDefault="00377FEE">
      <w:pPr>
        <w:pStyle w:val="Formatlibre"/>
        <w:tabs>
          <w:tab w:val="left" w:pos="6720"/>
        </w:tabs>
        <w:spacing w:after="120"/>
        <w:contextualSpacing/>
        <w:jc w:val="both"/>
        <w:rPr>
          <w:rFonts w:asciiTheme="majorHAnsi" w:hAnsiTheme="majorHAnsi"/>
          <w:sz w:val="22"/>
          <w:szCs w:val="22"/>
        </w:rPr>
      </w:pPr>
    </w:p>
    <w:p w14:paraId="52B3514D" w14:textId="77777777" w:rsidR="00377FEE" w:rsidRDefault="00000000">
      <w:pPr>
        <w:pStyle w:val="Formatlibre"/>
        <w:tabs>
          <w:tab w:val="left" w:pos="6720"/>
        </w:tabs>
        <w:spacing w:after="120"/>
        <w:contextualSpacing/>
        <w:jc w:val="both"/>
        <w:rPr>
          <w:rFonts w:asciiTheme="majorHAnsi" w:eastAsia="Times New Roman" w:hAnsiTheme="majorHAnsi"/>
          <w:color w:val="auto"/>
          <w:sz w:val="22"/>
          <w:szCs w:val="22"/>
        </w:rPr>
      </w:pPr>
      <w:r>
        <w:rPr>
          <w:rFonts w:asciiTheme="majorHAnsi" w:hAnsiTheme="majorHAnsi"/>
          <w:sz w:val="22"/>
          <w:szCs w:val="22"/>
        </w:rPr>
        <w:tab/>
      </w:r>
      <w:r>
        <w:rPr>
          <w:rFonts w:asciiTheme="majorHAnsi" w:hAnsiTheme="majorHAnsi"/>
          <w:sz w:val="22"/>
          <w:szCs w:val="22"/>
        </w:rPr>
        <w:br w:type="page" w:clear="all"/>
      </w:r>
    </w:p>
    <w:p w14:paraId="4442E6EA" w14:textId="77777777" w:rsidR="00377FEE" w:rsidRDefault="00377FEE">
      <w:pPr>
        <w:spacing w:after="120" w:line="276" w:lineRule="auto"/>
        <w:jc w:val="center"/>
        <w:rPr>
          <w:rFonts w:asciiTheme="majorHAnsi" w:hAnsiTheme="majorHAnsi"/>
          <w:b/>
          <w:lang w:eastAsia="fr-FR"/>
        </w:rPr>
      </w:pPr>
    </w:p>
    <w:p w14:paraId="55A18715" w14:textId="77777777" w:rsidR="00377FEE" w:rsidRDefault="00000000">
      <w:pPr>
        <w:spacing w:after="120" w:line="276" w:lineRule="auto"/>
        <w:jc w:val="center"/>
        <w:rPr>
          <w:rFonts w:asciiTheme="majorHAnsi" w:hAnsiTheme="majorHAnsi"/>
          <w:b/>
          <w:sz w:val="28"/>
          <w:szCs w:val="28"/>
        </w:rPr>
      </w:pPr>
      <w:r>
        <w:rPr>
          <w:rFonts w:asciiTheme="majorHAnsi" w:hAnsiTheme="majorHAnsi"/>
          <w:b/>
          <w:sz w:val="28"/>
          <w:szCs w:val="28"/>
          <w:lang w:eastAsia="fr-FR"/>
        </w:rPr>
        <w:t>ANNEXE 1</w:t>
      </w:r>
    </w:p>
    <w:p w14:paraId="30C815EF" w14:textId="77777777" w:rsidR="00377FEE" w:rsidRDefault="00000000">
      <w:pPr>
        <w:spacing w:after="120" w:line="276" w:lineRule="auto"/>
        <w:jc w:val="center"/>
        <w:rPr>
          <w:rFonts w:asciiTheme="majorHAnsi" w:hAnsiTheme="majorHAnsi"/>
          <w:b/>
          <w:sz w:val="22"/>
          <w:szCs w:val="22"/>
          <w:lang w:eastAsia="fr-FR"/>
        </w:rPr>
      </w:pPr>
      <w:r>
        <w:rPr>
          <w:rFonts w:asciiTheme="majorHAnsi" w:hAnsiTheme="majorHAnsi"/>
          <w:b/>
          <w:sz w:val="22"/>
          <w:szCs w:val="22"/>
          <w:lang w:eastAsia="fr-FR"/>
        </w:rPr>
        <w:t>« POLICE D’ASSURANCE »</w:t>
      </w:r>
    </w:p>
    <w:p w14:paraId="06FE3B7C" w14:textId="77777777" w:rsidR="00377FEE" w:rsidRDefault="00377FEE">
      <w:pPr>
        <w:spacing w:after="120" w:line="276" w:lineRule="auto"/>
        <w:jc w:val="both"/>
        <w:rPr>
          <w:rFonts w:asciiTheme="majorHAnsi" w:hAnsiTheme="majorHAnsi"/>
          <w:sz w:val="22"/>
          <w:szCs w:val="22"/>
          <w:lang w:eastAsia="fr-FR"/>
        </w:rPr>
      </w:pPr>
    </w:p>
    <w:p w14:paraId="623CA65D" w14:textId="77777777" w:rsidR="00377FEE" w:rsidRDefault="00000000">
      <w:pPr>
        <w:spacing w:after="120" w:line="276" w:lineRule="auto"/>
        <w:jc w:val="both"/>
        <w:rPr>
          <w:rFonts w:asciiTheme="majorHAnsi" w:hAnsiTheme="majorHAnsi"/>
          <w:sz w:val="22"/>
          <w:szCs w:val="22"/>
          <w:lang w:eastAsia="fr-FR"/>
        </w:rPr>
      </w:pPr>
      <w:r>
        <w:rPr>
          <w:rFonts w:asciiTheme="majorHAnsi" w:hAnsiTheme="majorHAnsi"/>
          <w:sz w:val="22"/>
          <w:szCs w:val="22"/>
          <w:lang w:eastAsia="fr-FR"/>
        </w:rPr>
        <w:t>1 – DÉFINITIONS</w:t>
      </w:r>
    </w:p>
    <w:p w14:paraId="4BC71EF7" w14:textId="77777777" w:rsidR="00377FEE" w:rsidRDefault="00000000">
      <w:pPr>
        <w:spacing w:after="120" w:line="276" w:lineRule="auto"/>
        <w:jc w:val="both"/>
        <w:rPr>
          <w:rFonts w:asciiTheme="majorHAnsi" w:hAnsiTheme="majorHAnsi"/>
          <w:sz w:val="22"/>
          <w:szCs w:val="22"/>
          <w:lang w:eastAsia="fr-FR"/>
        </w:rPr>
      </w:pPr>
      <w:r>
        <w:rPr>
          <w:rFonts w:asciiTheme="majorHAnsi" w:hAnsiTheme="majorHAnsi"/>
          <w:sz w:val="22"/>
          <w:szCs w:val="22"/>
          <w:lang w:eastAsia="fr-FR"/>
        </w:rPr>
        <w:t>ACCIDENT : tout événement soudain, imprévu et extérieur au bien endommagé, constituant la cause des dommages matériels.</w:t>
      </w:r>
    </w:p>
    <w:p w14:paraId="30FBDA20" w14:textId="77777777" w:rsidR="00377FEE" w:rsidRDefault="00000000">
      <w:pPr>
        <w:spacing w:after="120" w:line="276" w:lineRule="auto"/>
        <w:jc w:val="both"/>
        <w:rPr>
          <w:rFonts w:asciiTheme="majorHAnsi" w:hAnsiTheme="majorHAnsi"/>
          <w:sz w:val="22"/>
          <w:szCs w:val="22"/>
          <w:lang w:eastAsia="fr-FR"/>
        </w:rPr>
      </w:pPr>
      <w:r>
        <w:rPr>
          <w:rFonts w:asciiTheme="majorHAnsi" w:hAnsiTheme="majorHAnsi"/>
          <w:sz w:val="22"/>
          <w:szCs w:val="22"/>
          <w:lang w:eastAsia="fr-FR"/>
        </w:rPr>
        <w:t>LIMITES TERRITORIALES : France</w:t>
      </w:r>
    </w:p>
    <w:p w14:paraId="48EBC2C9" w14:textId="77777777" w:rsidR="00377FEE" w:rsidRDefault="00000000">
      <w:pPr>
        <w:spacing w:after="120" w:line="276" w:lineRule="auto"/>
        <w:jc w:val="both"/>
        <w:rPr>
          <w:rFonts w:asciiTheme="majorHAnsi" w:hAnsiTheme="majorHAnsi"/>
          <w:sz w:val="22"/>
          <w:szCs w:val="22"/>
          <w:lang w:eastAsia="fr-FR"/>
        </w:rPr>
      </w:pPr>
      <w:r>
        <w:rPr>
          <w:rFonts w:asciiTheme="majorHAnsi" w:hAnsiTheme="majorHAnsi"/>
          <w:sz w:val="22"/>
          <w:szCs w:val="22"/>
          <w:lang w:eastAsia="fr-FR"/>
        </w:rPr>
        <w:t>2 – OBJET DE LA GARANTIE</w:t>
      </w:r>
    </w:p>
    <w:p w14:paraId="179C6599" w14:textId="77777777" w:rsidR="00377FEE" w:rsidRDefault="00000000">
      <w:pPr>
        <w:spacing w:after="120" w:line="276" w:lineRule="auto"/>
        <w:jc w:val="both"/>
        <w:rPr>
          <w:rFonts w:asciiTheme="majorHAnsi" w:hAnsiTheme="majorHAnsi"/>
          <w:sz w:val="22"/>
          <w:szCs w:val="22"/>
          <w:lang w:eastAsia="fr-FR"/>
        </w:rPr>
      </w:pPr>
      <w:r>
        <w:rPr>
          <w:rFonts w:asciiTheme="majorHAnsi" w:hAnsiTheme="majorHAnsi"/>
          <w:sz w:val="22"/>
          <w:szCs w:val="22"/>
          <w:lang w:eastAsia="fr-FR"/>
        </w:rPr>
        <w:t>La police d’assurance souscrite a pour objet de garantir l'assuré contre tous risques de perte, bris ou destruction accidentels, subis par le matériel, que ce soit au repos, en activité et en cours ou à l'occasion d'un transport lorsqu'ils résultent de :</w:t>
      </w:r>
    </w:p>
    <w:p w14:paraId="65F26A7B"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chute, choc, heurt contre un corps fixe ou mobile,</w:t>
      </w:r>
    </w:p>
    <w:p w14:paraId="1FEBF0F7"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vol en tous lieux avec effraction,</w:t>
      </w:r>
    </w:p>
    <w:p w14:paraId="3987E602"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incendie, explosions, implosions, chute de la foudre,</w:t>
      </w:r>
    </w:p>
    <w:p w14:paraId="2D8FAFFF"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action de l'électricité sans incendie,</w:t>
      </w:r>
    </w:p>
    <w:p w14:paraId="7C5F983C"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action ou irruption de liquides de toute nature et de quelque origine qu'elle soit,</w:t>
      </w:r>
    </w:p>
    <w:p w14:paraId="7A602463"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tempête, ouragan, trombe, cyclone,</w:t>
      </w:r>
    </w:p>
    <w:p w14:paraId="5560EE10"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gel,</w:t>
      </w:r>
    </w:p>
    <w:p w14:paraId="0299BEA6" w14:textId="77777777" w:rsidR="00377FEE" w:rsidRDefault="00000000">
      <w:pPr>
        <w:spacing w:line="276" w:lineRule="auto"/>
        <w:jc w:val="both"/>
        <w:rPr>
          <w:rFonts w:asciiTheme="majorHAnsi" w:hAnsiTheme="majorHAnsi"/>
          <w:sz w:val="22"/>
          <w:szCs w:val="22"/>
          <w:lang w:eastAsia="fr-FR"/>
        </w:rPr>
      </w:pPr>
      <w:r>
        <w:rPr>
          <w:rFonts w:asciiTheme="majorHAnsi" w:hAnsiTheme="majorHAnsi"/>
          <w:sz w:val="22"/>
          <w:szCs w:val="22"/>
          <w:lang w:eastAsia="fr-FR"/>
        </w:rPr>
        <w:t>-</w:t>
      </w:r>
      <w:r>
        <w:rPr>
          <w:rFonts w:asciiTheme="majorHAnsi" w:hAnsiTheme="majorHAnsi"/>
          <w:sz w:val="22"/>
          <w:szCs w:val="22"/>
          <w:lang w:eastAsia="fr-FR"/>
        </w:rPr>
        <w:tab/>
        <w:t>acte de malveillance, sabotage ou de vandalisme commis par des préposés de l'assuré ou par des tiers, ou commis à l'occasion d'une grève, d'une émeute ou d'un mouvement populaire.</w:t>
      </w:r>
    </w:p>
    <w:p w14:paraId="5F3389D2" w14:textId="77777777" w:rsidR="00377FEE" w:rsidRDefault="00000000">
      <w:pPr>
        <w:spacing w:after="120" w:line="276" w:lineRule="auto"/>
        <w:jc w:val="both"/>
        <w:rPr>
          <w:rFonts w:asciiTheme="majorHAnsi" w:hAnsiTheme="majorHAnsi"/>
          <w:sz w:val="20"/>
          <w:szCs w:val="20"/>
          <w:lang w:eastAsia="fr-FR"/>
        </w:rPr>
      </w:pPr>
      <w:r>
        <w:rPr>
          <w:rFonts w:asciiTheme="majorHAnsi" w:hAnsiTheme="majorHAnsi"/>
          <w:sz w:val="20"/>
          <w:szCs w:val="20"/>
          <w:lang w:eastAsia="fr-FR"/>
        </w:rPr>
        <w:t>3 – EXCLUSIONS</w:t>
      </w:r>
    </w:p>
    <w:p w14:paraId="573B1AE0" w14:textId="77777777" w:rsidR="00377FEE" w:rsidRDefault="00000000">
      <w:pPr>
        <w:spacing w:after="120" w:line="276" w:lineRule="auto"/>
        <w:jc w:val="both"/>
        <w:rPr>
          <w:rFonts w:asciiTheme="majorHAnsi" w:hAnsiTheme="majorHAnsi"/>
          <w:sz w:val="20"/>
          <w:szCs w:val="20"/>
          <w:lang w:eastAsia="fr-FR"/>
        </w:rPr>
      </w:pPr>
      <w:r>
        <w:rPr>
          <w:rFonts w:asciiTheme="majorHAnsi" w:hAnsiTheme="majorHAnsi"/>
          <w:sz w:val="20"/>
          <w:szCs w:val="20"/>
          <w:lang w:eastAsia="fr-FR"/>
        </w:rPr>
        <w:t>SONT EXCLUS LES DOMMAGES :</w:t>
      </w:r>
    </w:p>
    <w:p w14:paraId="1182EF33" w14:textId="77777777" w:rsidR="00377FEE" w:rsidRDefault="00000000">
      <w:pPr>
        <w:spacing w:line="276" w:lineRule="auto"/>
        <w:jc w:val="both"/>
        <w:rPr>
          <w:rFonts w:asciiTheme="majorHAnsi" w:hAnsiTheme="majorHAnsi"/>
          <w:sz w:val="20"/>
          <w:szCs w:val="20"/>
          <w:lang w:eastAsia="fr-FR"/>
        </w:rPr>
      </w:pPr>
      <w:r>
        <w:rPr>
          <w:rFonts w:asciiTheme="majorHAnsi" w:hAnsiTheme="majorHAnsi"/>
          <w:sz w:val="20"/>
          <w:szCs w:val="20"/>
          <w:lang w:eastAsia="fr-FR"/>
        </w:rPr>
        <w:t>-</w:t>
      </w:r>
      <w:r>
        <w:rPr>
          <w:rFonts w:asciiTheme="majorHAnsi" w:hAnsiTheme="majorHAnsi"/>
          <w:sz w:val="20"/>
          <w:szCs w:val="20"/>
          <w:lang w:eastAsia="fr-FR"/>
        </w:rPr>
        <w:tab/>
        <w:t>RESULTANT DE VICE PROPRE, DE CONDITIONS ANORMALES D'UTILISATION OU DE DEFAUT D'ENTRETIEN DU MATERIEL GARANTI,</w:t>
      </w:r>
    </w:p>
    <w:p w14:paraId="671F399D" w14:textId="77777777" w:rsidR="00377FEE" w:rsidRDefault="00000000">
      <w:pPr>
        <w:spacing w:line="276" w:lineRule="auto"/>
        <w:jc w:val="both"/>
        <w:rPr>
          <w:rFonts w:asciiTheme="majorHAnsi" w:hAnsiTheme="majorHAnsi"/>
          <w:sz w:val="20"/>
          <w:szCs w:val="20"/>
          <w:lang w:eastAsia="fr-FR"/>
        </w:rPr>
      </w:pPr>
      <w:r>
        <w:rPr>
          <w:rFonts w:asciiTheme="majorHAnsi" w:hAnsiTheme="majorHAnsi"/>
          <w:sz w:val="20"/>
          <w:szCs w:val="20"/>
          <w:lang w:eastAsia="fr-FR"/>
        </w:rPr>
        <w:t>-</w:t>
      </w:r>
      <w:r>
        <w:rPr>
          <w:rFonts w:asciiTheme="majorHAnsi" w:hAnsiTheme="majorHAnsi"/>
          <w:sz w:val="20"/>
          <w:szCs w:val="20"/>
          <w:lang w:eastAsia="fr-FR"/>
        </w:rPr>
        <w:tab/>
        <w:t>SUBIS PAR LES PIECES NECESSITANT UN REMPLACEMENT PERIODIQUE, SAUF SI CES DOMMAGES SONT LA CONSEQUENCE D'UN SINISTRE ATTEIGNANT LE MATERIEL DANS SON ENSEMBLE,</w:t>
      </w:r>
    </w:p>
    <w:p w14:paraId="33F21DD1" w14:textId="77777777" w:rsidR="00377FEE" w:rsidRDefault="00000000">
      <w:pPr>
        <w:spacing w:line="276" w:lineRule="auto"/>
        <w:jc w:val="both"/>
        <w:rPr>
          <w:rFonts w:asciiTheme="majorHAnsi" w:hAnsiTheme="majorHAnsi"/>
          <w:sz w:val="20"/>
          <w:szCs w:val="20"/>
          <w:lang w:eastAsia="fr-FR"/>
        </w:rPr>
      </w:pPr>
      <w:r>
        <w:rPr>
          <w:rFonts w:asciiTheme="majorHAnsi" w:hAnsiTheme="majorHAnsi"/>
          <w:sz w:val="20"/>
          <w:szCs w:val="20"/>
          <w:lang w:eastAsia="fr-FR"/>
        </w:rPr>
        <w:t>-</w:t>
      </w:r>
      <w:r>
        <w:rPr>
          <w:rFonts w:asciiTheme="majorHAnsi" w:hAnsiTheme="majorHAnsi"/>
          <w:sz w:val="20"/>
          <w:szCs w:val="20"/>
          <w:lang w:eastAsia="fr-FR"/>
        </w:rPr>
        <w:tab/>
        <w:t>DUS A L'USURE, LA DETERIORATION PROGRESSIVE, LA ROUILLE, LA CORROSION, AUX RAYURES SUR DES SURFACES PEINTES OU POLIES, A L'HUMIDITE ET A LA CONDENSATION,</w:t>
      </w:r>
    </w:p>
    <w:p w14:paraId="6A6EB656" w14:textId="77777777" w:rsidR="00377FEE" w:rsidRDefault="00000000">
      <w:pPr>
        <w:spacing w:line="276" w:lineRule="auto"/>
        <w:jc w:val="both"/>
        <w:rPr>
          <w:rFonts w:asciiTheme="majorHAnsi" w:hAnsiTheme="majorHAnsi"/>
          <w:sz w:val="20"/>
          <w:szCs w:val="20"/>
          <w:lang w:eastAsia="fr-FR"/>
        </w:rPr>
      </w:pPr>
      <w:r>
        <w:rPr>
          <w:rFonts w:asciiTheme="majorHAnsi" w:hAnsiTheme="majorHAnsi"/>
          <w:sz w:val="20"/>
          <w:szCs w:val="20"/>
          <w:lang w:eastAsia="fr-FR"/>
        </w:rPr>
        <w:t>-</w:t>
      </w:r>
      <w:r>
        <w:rPr>
          <w:rFonts w:asciiTheme="majorHAnsi" w:hAnsiTheme="majorHAnsi"/>
          <w:sz w:val="20"/>
          <w:szCs w:val="20"/>
          <w:lang w:eastAsia="fr-FR"/>
        </w:rPr>
        <w:tab/>
        <w:t>DE TAGS OU GRAFFITIS,</w:t>
      </w:r>
    </w:p>
    <w:p w14:paraId="3455F229" w14:textId="77777777" w:rsidR="00377FEE" w:rsidRDefault="00000000">
      <w:pPr>
        <w:spacing w:line="276" w:lineRule="auto"/>
        <w:jc w:val="both"/>
        <w:rPr>
          <w:rFonts w:asciiTheme="majorHAnsi" w:hAnsiTheme="majorHAnsi"/>
          <w:sz w:val="20"/>
          <w:szCs w:val="20"/>
          <w:lang w:eastAsia="fr-FR"/>
        </w:rPr>
      </w:pPr>
      <w:r>
        <w:rPr>
          <w:rFonts w:asciiTheme="majorHAnsi" w:hAnsiTheme="majorHAnsi"/>
          <w:sz w:val="20"/>
          <w:szCs w:val="20"/>
          <w:lang w:eastAsia="fr-FR"/>
        </w:rPr>
        <w:t>-</w:t>
      </w:r>
      <w:r>
        <w:rPr>
          <w:rFonts w:asciiTheme="majorHAnsi" w:hAnsiTheme="majorHAnsi"/>
          <w:sz w:val="20"/>
          <w:szCs w:val="20"/>
          <w:lang w:eastAsia="fr-FR"/>
        </w:rPr>
        <w:tab/>
        <w:t>RESULTANT D'INCIDENTS D'EXPLOITATION A LA SUITE NOTAMMENT DE GRIPPAGE, DEREGLAGE, VIBRATION, SURVITESSE, FORCE CENTRIFUGE,</w:t>
      </w:r>
    </w:p>
    <w:p w14:paraId="6037DE77" w14:textId="77777777" w:rsidR="00377FEE" w:rsidRDefault="00000000">
      <w:pPr>
        <w:spacing w:line="276" w:lineRule="auto"/>
        <w:jc w:val="both"/>
        <w:rPr>
          <w:rFonts w:asciiTheme="majorHAnsi" w:hAnsiTheme="majorHAnsi"/>
          <w:b/>
          <w:sz w:val="22"/>
          <w:szCs w:val="22"/>
          <w:lang w:eastAsia="fr-FR"/>
        </w:rPr>
      </w:pPr>
      <w:r>
        <w:rPr>
          <w:rFonts w:asciiTheme="majorHAnsi" w:hAnsiTheme="majorHAnsi"/>
          <w:sz w:val="20"/>
          <w:szCs w:val="20"/>
          <w:lang w:eastAsia="fr-FR"/>
        </w:rPr>
        <w:t>-</w:t>
      </w:r>
      <w:r>
        <w:rPr>
          <w:rFonts w:asciiTheme="majorHAnsi" w:hAnsiTheme="majorHAnsi"/>
          <w:sz w:val="20"/>
          <w:szCs w:val="20"/>
          <w:lang w:eastAsia="fr-FR"/>
        </w:rPr>
        <w:tab/>
        <w:t>AUX APPAREILS LAISSES LA NUIT DE 22H A 6H DANS LES VEHICULES STATIONNANT HORS LOCAUX FERMES A CLE OU DE JOUR DANS LES VEHICULES NON FERMES A CLE.</w:t>
      </w:r>
    </w:p>
    <w:p w14:paraId="5A5E77AF" w14:textId="77777777" w:rsidR="00377FEE" w:rsidRDefault="00377FEE">
      <w:pPr>
        <w:rPr>
          <w:rFonts w:asciiTheme="majorHAnsi" w:hAnsiTheme="majorHAnsi"/>
          <w:b/>
          <w:sz w:val="22"/>
          <w:szCs w:val="22"/>
          <w:lang w:eastAsia="fr-FR"/>
        </w:rPr>
      </w:pPr>
    </w:p>
    <w:p w14:paraId="75226976" w14:textId="77777777" w:rsidR="00377FEE" w:rsidRDefault="00377FEE">
      <w:pPr>
        <w:rPr>
          <w:rFonts w:asciiTheme="majorHAnsi" w:hAnsiTheme="majorHAnsi"/>
          <w:b/>
          <w:sz w:val="22"/>
          <w:szCs w:val="22"/>
          <w:lang w:eastAsia="fr-FR"/>
        </w:rPr>
      </w:pPr>
    </w:p>
    <w:p w14:paraId="4434BB7E" w14:textId="77777777" w:rsidR="00377FEE" w:rsidRDefault="00377FEE">
      <w:pPr>
        <w:rPr>
          <w:rFonts w:asciiTheme="majorHAnsi" w:hAnsiTheme="majorHAnsi"/>
          <w:b/>
          <w:sz w:val="22"/>
          <w:szCs w:val="22"/>
          <w:lang w:eastAsia="fr-FR"/>
        </w:rPr>
      </w:pPr>
    </w:p>
    <w:p w14:paraId="3609B2B5" w14:textId="77777777" w:rsidR="00377FEE" w:rsidRDefault="00377FEE">
      <w:pPr>
        <w:rPr>
          <w:rFonts w:asciiTheme="majorHAnsi" w:hAnsiTheme="majorHAnsi"/>
          <w:b/>
          <w:sz w:val="22"/>
          <w:szCs w:val="22"/>
          <w:lang w:eastAsia="fr-FR"/>
        </w:rPr>
      </w:pPr>
    </w:p>
    <w:p w14:paraId="2D198CBE" w14:textId="77777777" w:rsidR="00377FEE" w:rsidRDefault="00377FEE">
      <w:pPr>
        <w:rPr>
          <w:rFonts w:asciiTheme="majorHAnsi" w:hAnsiTheme="majorHAnsi"/>
          <w:b/>
          <w:sz w:val="22"/>
          <w:szCs w:val="22"/>
          <w:lang w:eastAsia="fr-FR"/>
        </w:rPr>
      </w:pPr>
    </w:p>
    <w:p w14:paraId="48391756" w14:textId="77777777" w:rsidR="00377FEE" w:rsidRDefault="00377FEE">
      <w:pPr>
        <w:rPr>
          <w:rFonts w:asciiTheme="majorHAnsi" w:hAnsiTheme="majorHAnsi"/>
          <w:b/>
          <w:sz w:val="22"/>
          <w:szCs w:val="22"/>
          <w:lang w:eastAsia="fr-FR"/>
        </w:rPr>
      </w:pPr>
    </w:p>
    <w:p w14:paraId="51410E91" w14:textId="77777777" w:rsidR="00377FEE" w:rsidRDefault="00377FEE">
      <w:pPr>
        <w:spacing w:line="276" w:lineRule="auto"/>
        <w:jc w:val="center"/>
        <w:rPr>
          <w:rFonts w:asciiTheme="majorHAnsi" w:hAnsiTheme="majorHAnsi"/>
          <w:b/>
          <w:sz w:val="22"/>
          <w:szCs w:val="22"/>
          <w:lang w:eastAsia="fr-FR"/>
        </w:rPr>
      </w:pPr>
    </w:p>
    <w:p w14:paraId="47D89FBA" w14:textId="77777777" w:rsidR="00377FEE" w:rsidRDefault="00000000">
      <w:pPr>
        <w:spacing w:line="276" w:lineRule="auto"/>
        <w:jc w:val="center"/>
        <w:rPr>
          <w:rFonts w:asciiTheme="majorHAnsi" w:hAnsiTheme="majorHAnsi"/>
          <w:b/>
          <w:sz w:val="28"/>
          <w:szCs w:val="28"/>
        </w:rPr>
      </w:pPr>
      <w:r>
        <w:rPr>
          <w:rFonts w:asciiTheme="majorHAnsi" w:hAnsiTheme="majorHAnsi"/>
          <w:b/>
          <w:sz w:val="28"/>
          <w:szCs w:val="28"/>
          <w:lang w:eastAsia="fr-FR"/>
        </w:rPr>
        <w:t>ANNEXE 2</w:t>
      </w:r>
    </w:p>
    <w:p w14:paraId="5C746E3F" w14:textId="77777777" w:rsidR="00377FEE" w:rsidRDefault="00000000">
      <w:pPr>
        <w:jc w:val="center"/>
        <w:rPr>
          <w:rFonts w:ascii="Carlito" w:hAnsi="Carlito" w:cs="Carlito"/>
          <w:b/>
          <w:bCs/>
          <w:sz w:val="22"/>
          <w:szCs w:val="22"/>
        </w:rPr>
      </w:pPr>
      <w:r>
        <w:rPr>
          <w:rFonts w:ascii="Carlito" w:eastAsia="Carlito" w:hAnsi="Carlito" w:cs="Carlito"/>
          <w:b/>
          <w:bCs/>
          <w:sz w:val="22"/>
          <w:szCs w:val="22"/>
        </w:rPr>
        <w:t>INVENTAIRE</w:t>
      </w:r>
    </w:p>
    <w:p w14:paraId="79B65241" w14:textId="77777777" w:rsidR="00377FEE" w:rsidRDefault="00377FEE">
      <w:pPr>
        <w:jc w:val="center"/>
        <w:rPr>
          <w:rFonts w:ascii="Carlito" w:hAnsi="Carlito" w:cs="Carlito"/>
        </w:rPr>
      </w:pPr>
    </w:p>
    <w:p w14:paraId="627E92FA" w14:textId="77777777" w:rsidR="00377FEE" w:rsidRDefault="00377FEE">
      <w:pPr>
        <w:jc w:val="center"/>
        <w:rPr>
          <w:rFonts w:ascii="Carlito" w:hAnsi="Carlito" w:cs="Carlito"/>
        </w:rPr>
      </w:pPr>
    </w:p>
    <w:p w14:paraId="2CD97B54" w14:textId="77777777" w:rsidR="00377FEE" w:rsidRDefault="00377FEE">
      <w:pPr>
        <w:jc w:val="center"/>
        <w:rPr>
          <w:rFonts w:ascii="Carlito" w:hAnsi="Carlito" w:cs="Carlito"/>
        </w:rPr>
      </w:pPr>
    </w:p>
    <w:p w14:paraId="2E5D1EAF" w14:textId="77777777" w:rsidR="00377FEE" w:rsidRDefault="00000000">
      <w:pPr>
        <w:pStyle w:val="Formatlibre"/>
        <w:pBdr>
          <w:top w:val="none" w:sz="4" w:space="0" w:color="000000"/>
          <w:left w:val="none" w:sz="4" w:space="0" w:color="000000"/>
          <w:bottom w:val="none" w:sz="4" w:space="0" w:color="000000"/>
          <w:right w:val="none" w:sz="4" w:space="0" w:color="000000"/>
        </w:pBdr>
        <w:spacing w:after="120"/>
        <w:ind w:right="290"/>
        <w:contextualSpacing/>
        <w:jc w:val="both"/>
        <w:rPr>
          <w:rFonts w:ascii="Carlito" w:eastAsia="Carlito" w:hAnsi="Carlito" w:cs="Carlito"/>
          <w:sz w:val="24"/>
          <w:szCs w:val="24"/>
        </w:rPr>
      </w:pPr>
      <w:r>
        <w:rPr>
          <w:noProof/>
        </w:rPr>
        <mc:AlternateContent>
          <mc:Choice Requires="wpg">
            <w:drawing>
              <wp:anchor distT="0" distB="0" distL="115200" distR="115200" simplePos="0" relativeHeight="4096" behindDoc="0" locked="0" layoutInCell="1" allowOverlap="1" wp14:anchorId="79C45E63" wp14:editId="7D66005C">
                <wp:simplePos x="0" y="0"/>
                <wp:positionH relativeFrom="column">
                  <wp:posOffset>4076400</wp:posOffset>
                </wp:positionH>
                <wp:positionV relativeFrom="paragraph">
                  <wp:posOffset>100207</wp:posOffset>
                </wp:positionV>
                <wp:extent cx="2032010" cy="2032010"/>
                <wp:effectExtent l="0" t="0" r="0" b="0"/>
                <wp:wrapThrough wrapText="bothSides">
                  <wp:wrapPolygon edited="1">
                    <wp:start x="0" y="0"/>
                    <wp:lineTo x="21600" y="0"/>
                    <wp:lineTo x="21600" y="21600"/>
                    <wp:lineTo x="0" y="2160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19657" name=""/>
                        <pic:cNvPicPr>
                          <a:picLocks noChangeAspect="1"/>
                        </pic:cNvPicPr>
                      </pic:nvPicPr>
                      <pic:blipFill rotWithShape="1">
                        <a:blip r:embed="rId7"/>
                        <a:stretch/>
                      </pic:blipFill>
                      <pic:spPr bwMode="auto">
                        <a:xfrm>
                          <a:off x="0" y="0"/>
                          <a:ext cx="2032008" cy="2032008"/>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4096;o:allowoverlap:true;o:allowincell:true;mso-position-horizontal-relative:text;margin-left:320.98pt;mso-position-horizontal:absolute;mso-position-vertical-relative:text;margin-top:7.89pt;mso-position-vertical:absolute;width:160.00pt;height:160.00pt;mso-wrap-distance-left:9.07pt;mso-wrap-distance-top:0.00pt;mso-wrap-distance-right:9.07pt;mso-wrap-distance-bottom:0.00pt;z-index:1;" wrapcoords="0 0 100000 0 100000 100000 0 100000" stroked="false">
                <w10:wrap type="through"/>
                <v:imagedata r:id="rId13" o:title=""/>
                <o:lock v:ext="edit" rotation="t"/>
              </v:shape>
            </w:pict>
          </mc:Fallback>
        </mc:AlternateContent>
      </w:r>
      <w:r>
        <w:rPr>
          <w:rFonts w:ascii="Carlito" w:eastAsia="Carlito" w:hAnsi="Carlito" w:cs="Carlito"/>
          <w:sz w:val="24"/>
          <w:szCs w:val="24"/>
        </w:rPr>
        <w:t xml:space="preserve">Le kit lumière comprend : </w:t>
      </w:r>
    </w:p>
    <w:p w14:paraId="456ED8E5" w14:textId="77777777" w:rsidR="00377FEE" w:rsidRDefault="00377FEE">
      <w:pPr>
        <w:pStyle w:val="Formatlibre"/>
        <w:pBdr>
          <w:top w:val="none" w:sz="4" w:space="0" w:color="000000"/>
          <w:left w:val="none" w:sz="4" w:space="0" w:color="000000"/>
          <w:bottom w:val="none" w:sz="4" w:space="0" w:color="000000"/>
          <w:right w:val="none" w:sz="4" w:space="0" w:color="000000"/>
        </w:pBdr>
        <w:spacing w:after="120"/>
        <w:ind w:right="290"/>
        <w:contextualSpacing/>
        <w:jc w:val="both"/>
        <w:rPr>
          <w:rFonts w:ascii="Carlito" w:hAnsi="Carlito" w:cs="Carlito"/>
          <w:sz w:val="24"/>
          <w:szCs w:val="24"/>
        </w:rPr>
      </w:pPr>
    </w:p>
    <w:p w14:paraId="4883A14F" w14:textId="77777777" w:rsidR="00377FEE" w:rsidRDefault="00377FEE">
      <w:pPr>
        <w:pBdr>
          <w:top w:val="none" w:sz="4" w:space="0" w:color="000000"/>
          <w:left w:val="none" w:sz="4" w:space="0" w:color="000000"/>
          <w:bottom w:val="none" w:sz="4" w:space="0" w:color="000000"/>
          <w:right w:val="none" w:sz="4" w:space="0" w:color="000000"/>
        </w:pBdr>
        <w:ind w:left="709"/>
        <w:rPr>
          <w:rFonts w:ascii="Carlito" w:hAnsi="Carlito" w:cs="Carlito"/>
        </w:rPr>
      </w:pPr>
    </w:p>
    <w:p w14:paraId="7CD01E8D" w14:textId="77777777" w:rsidR="00377FEE" w:rsidRDefault="00000000">
      <w:pPr>
        <w:pStyle w:val="Paragraphedeliste"/>
        <w:numPr>
          <w:ilvl w:val="0"/>
          <w:numId w:val="4"/>
        </w:numPr>
        <w:pBdr>
          <w:top w:val="none" w:sz="4" w:space="0" w:color="000000"/>
          <w:left w:val="none" w:sz="4" w:space="0" w:color="000000"/>
          <w:bottom w:val="none" w:sz="4" w:space="0" w:color="000000"/>
          <w:right w:val="none" w:sz="4" w:space="0" w:color="000000"/>
        </w:pBdr>
        <w:rPr>
          <w:rFonts w:ascii="Carlito" w:hAnsi="Carlito" w:cs="Carlito"/>
        </w:rPr>
      </w:pPr>
      <w:r>
        <w:rPr>
          <w:rFonts w:ascii="Carlito" w:eastAsia="Carlito" w:hAnsi="Carlito" w:cs="Carlito"/>
        </w:rPr>
        <w:t>1 Réflecteur/Diffuseur de lumière rond et pliable avec poignée – dimension : 180/110cm</w:t>
      </w:r>
    </w:p>
    <w:p w14:paraId="5730F2AB" w14:textId="77777777" w:rsidR="00377FEE" w:rsidRDefault="00377FEE">
      <w:pPr>
        <w:pBdr>
          <w:top w:val="none" w:sz="4" w:space="0" w:color="000000"/>
          <w:left w:val="none" w:sz="4" w:space="0" w:color="000000"/>
          <w:bottom w:val="none" w:sz="4" w:space="0" w:color="000000"/>
          <w:right w:val="none" w:sz="4" w:space="0" w:color="000000"/>
        </w:pBdr>
        <w:ind w:left="709"/>
        <w:jc w:val="center"/>
        <w:rPr>
          <w:rFonts w:ascii="Carlito" w:hAnsi="Carlito" w:cs="Carlito"/>
        </w:rPr>
      </w:pPr>
    </w:p>
    <w:p w14:paraId="0BDA7619" w14:textId="77777777" w:rsidR="00377FEE" w:rsidRDefault="00000000">
      <w:pPr>
        <w:pStyle w:val="Paragraphedeliste"/>
        <w:numPr>
          <w:ilvl w:val="0"/>
          <w:numId w:val="4"/>
        </w:numPr>
        <w:pBdr>
          <w:top w:val="none" w:sz="4" w:space="0" w:color="000000"/>
          <w:left w:val="none" w:sz="4" w:space="0" w:color="000000"/>
          <w:bottom w:val="none" w:sz="4" w:space="0" w:color="000000"/>
          <w:right w:val="none" w:sz="4" w:space="0" w:color="000000"/>
        </w:pBdr>
        <w:rPr>
          <w:rFonts w:ascii="Carlito" w:hAnsi="Carlito" w:cs="Carlito"/>
        </w:rPr>
      </w:pPr>
      <w:r>
        <w:rPr>
          <w:rFonts w:ascii="Carlito" w:eastAsia="Carlito" w:hAnsi="Carlito" w:cs="Carlito"/>
        </w:rPr>
        <w:t>Dans 1 x Sac de transport :</w:t>
      </w:r>
    </w:p>
    <w:p w14:paraId="56F146BE" w14:textId="77777777" w:rsidR="00377FEE" w:rsidRDefault="00000000">
      <w:pPr>
        <w:pStyle w:val="Paragraphedeliste"/>
        <w:numPr>
          <w:ilvl w:val="0"/>
          <w:numId w:val="3"/>
        </w:numPr>
        <w:pBdr>
          <w:top w:val="none" w:sz="4" w:space="0" w:color="000000"/>
          <w:left w:val="none" w:sz="4" w:space="0" w:color="000000"/>
          <w:bottom w:val="none" w:sz="4" w:space="0" w:color="000000"/>
          <w:right w:val="none" w:sz="4" w:space="0" w:color="000000"/>
        </w:pBdr>
        <w:rPr>
          <w:rFonts w:ascii="Carlito" w:eastAsia="Carlito" w:hAnsi="Carlito" w:cs="Carlito"/>
        </w:rPr>
      </w:pPr>
      <w:r>
        <w:rPr>
          <w:rFonts w:ascii="Carlito" w:eastAsia="Carlito" w:hAnsi="Carlito" w:cs="Carlito"/>
        </w:rPr>
        <w:t>2 x Projecteur vidéo LED RVB 660 PRO II (NEEWER)</w:t>
      </w:r>
    </w:p>
    <w:p w14:paraId="0133C091" w14:textId="77777777" w:rsidR="00377FEE" w:rsidRDefault="00000000">
      <w:pPr>
        <w:pStyle w:val="Paragraphedeliste"/>
        <w:numPr>
          <w:ilvl w:val="0"/>
          <w:numId w:val="3"/>
        </w:numPr>
        <w:pBdr>
          <w:top w:val="none" w:sz="4" w:space="0" w:color="000000"/>
          <w:left w:val="none" w:sz="4" w:space="0" w:color="000000"/>
          <w:bottom w:val="none" w:sz="4" w:space="0" w:color="000000"/>
          <w:right w:val="none" w:sz="4" w:space="0" w:color="000000"/>
        </w:pBdr>
        <w:rPr>
          <w:rFonts w:ascii="Carlito" w:eastAsia="Carlito" w:hAnsi="Carlito" w:cs="Carlito"/>
        </w:rPr>
      </w:pPr>
      <w:r>
        <w:rPr>
          <w:rFonts w:ascii="Carlito" w:eastAsia="Carlito" w:hAnsi="Carlito" w:cs="Carlito"/>
        </w:rPr>
        <w:t>2 x Trépied d'éclairage de 200 cm</w:t>
      </w:r>
    </w:p>
    <w:p w14:paraId="396F307A" w14:textId="77777777" w:rsidR="00377FEE" w:rsidRDefault="00000000">
      <w:pPr>
        <w:pStyle w:val="Paragraphedeliste"/>
        <w:numPr>
          <w:ilvl w:val="0"/>
          <w:numId w:val="3"/>
        </w:numPr>
        <w:pBdr>
          <w:top w:val="none" w:sz="4" w:space="0" w:color="000000"/>
          <w:left w:val="none" w:sz="4" w:space="0" w:color="000000"/>
          <w:bottom w:val="none" w:sz="4" w:space="0" w:color="000000"/>
          <w:right w:val="none" w:sz="4" w:space="0" w:color="000000"/>
        </w:pBdr>
        <w:rPr>
          <w:rFonts w:ascii="Carlito" w:eastAsia="Carlito" w:hAnsi="Carlito" w:cs="Carlito"/>
        </w:rPr>
      </w:pPr>
      <w:r>
        <w:rPr>
          <w:rFonts w:ascii="Carlito" w:eastAsia="Carlito" w:hAnsi="Carlito" w:cs="Carlito"/>
        </w:rPr>
        <w:t>2 x Diffuseur blanc</w:t>
      </w:r>
    </w:p>
    <w:p w14:paraId="79A37BD4" w14:textId="77777777" w:rsidR="00377FEE" w:rsidRDefault="00000000">
      <w:pPr>
        <w:pStyle w:val="Paragraphedeliste"/>
        <w:numPr>
          <w:ilvl w:val="0"/>
          <w:numId w:val="3"/>
        </w:numPr>
        <w:pBdr>
          <w:top w:val="none" w:sz="4" w:space="0" w:color="000000"/>
          <w:left w:val="none" w:sz="4" w:space="0" w:color="000000"/>
          <w:bottom w:val="none" w:sz="4" w:space="0" w:color="000000"/>
          <w:right w:val="none" w:sz="4" w:space="0" w:color="000000"/>
        </w:pBdr>
        <w:rPr>
          <w:rFonts w:ascii="Carlito" w:eastAsia="Carlito" w:hAnsi="Carlito" w:cs="Carlito"/>
        </w:rPr>
      </w:pPr>
      <w:r>
        <w:rPr>
          <w:rFonts w:ascii="Carlito" w:eastAsia="Carlito" w:hAnsi="Carlito" w:cs="Carlito"/>
        </w:rPr>
        <w:t>2 x Adaptateur secteur</w:t>
      </w:r>
    </w:p>
    <w:p w14:paraId="0FD27293" w14:textId="77777777" w:rsidR="00377FEE" w:rsidRDefault="00000000">
      <w:pPr>
        <w:pStyle w:val="Paragraphedeliste"/>
        <w:numPr>
          <w:ilvl w:val="0"/>
          <w:numId w:val="3"/>
        </w:numPr>
        <w:pBdr>
          <w:top w:val="none" w:sz="4" w:space="0" w:color="000000"/>
          <w:left w:val="none" w:sz="4" w:space="0" w:color="000000"/>
          <w:bottom w:val="none" w:sz="4" w:space="0" w:color="000000"/>
          <w:right w:val="none" w:sz="4" w:space="0" w:color="000000"/>
        </w:pBdr>
        <w:rPr>
          <w:rFonts w:ascii="Carlito" w:eastAsia="Carlito" w:hAnsi="Carlito" w:cs="Carlito"/>
        </w:rPr>
      </w:pPr>
      <w:r>
        <w:rPr>
          <w:rFonts w:ascii="Carlito" w:eastAsia="Carlito" w:hAnsi="Carlito" w:cs="Carlito"/>
        </w:rPr>
        <w:t>2 x Câble d'alimentation</w:t>
      </w:r>
    </w:p>
    <w:p w14:paraId="17821CF0" w14:textId="77777777" w:rsidR="00377FEE" w:rsidRDefault="00000000">
      <w:pPr>
        <w:pBdr>
          <w:top w:val="none" w:sz="4" w:space="0" w:color="000000"/>
          <w:left w:val="none" w:sz="4" w:space="0" w:color="000000"/>
          <w:bottom w:val="none" w:sz="4" w:space="0" w:color="000000"/>
          <w:right w:val="none" w:sz="4" w:space="0" w:color="000000"/>
        </w:pBdr>
        <w:rPr>
          <w:rFonts w:ascii="Carlito" w:hAnsi="Carlito" w:cs="Carlito"/>
        </w:rPr>
      </w:pPr>
      <w:r>
        <w:rPr>
          <w:noProof/>
        </w:rPr>
        <mc:AlternateContent>
          <mc:Choice Requires="wpg">
            <w:drawing>
              <wp:anchor distT="0" distB="0" distL="115200" distR="115200" simplePos="0" relativeHeight="2048" behindDoc="0" locked="0" layoutInCell="1" allowOverlap="1" wp14:anchorId="4D28C820" wp14:editId="30925376">
                <wp:simplePos x="0" y="0"/>
                <wp:positionH relativeFrom="column">
                  <wp:posOffset>1077890</wp:posOffset>
                </wp:positionH>
                <wp:positionV relativeFrom="paragraph">
                  <wp:posOffset>31830</wp:posOffset>
                </wp:positionV>
                <wp:extent cx="3804965" cy="3804965"/>
                <wp:effectExtent l="0" t="0" r="0" b="0"/>
                <wp:wrapThrough wrapText="bothSides">
                  <wp:wrapPolygon edited="1">
                    <wp:start x="0" y="0"/>
                    <wp:lineTo x="21600" y="0"/>
                    <wp:lineTo x="21600" y="21600"/>
                    <wp:lineTo x="0" y="2160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91664" name=""/>
                        <pic:cNvPicPr>
                          <a:picLocks noChangeAspect="1"/>
                        </pic:cNvPicPr>
                      </pic:nvPicPr>
                      <pic:blipFill rotWithShape="1">
                        <a:blip r:embed="rId14"/>
                        <a:stretch/>
                      </pic:blipFill>
                      <pic:spPr bwMode="auto">
                        <a:xfrm>
                          <a:off x="0" y="0"/>
                          <a:ext cx="3804963" cy="3804963"/>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048;o:allowoverlap:true;o:allowincell:true;mso-position-horizontal-relative:text;margin-left:84.87pt;mso-position-horizontal:absolute;mso-position-vertical-relative:text;margin-top:2.51pt;mso-position-vertical:absolute;width:299.60pt;height:299.60pt;mso-wrap-distance-left:9.07pt;mso-wrap-distance-top:0.00pt;mso-wrap-distance-right:9.07pt;mso-wrap-distance-bottom:0.00pt;z-index:1;" wrapcoords="0 0 100000 0 100000 100000 0 100000" stroked="false">
                <w10:wrap type="through"/>
                <v:imagedata r:id="rId15" o:title=""/>
                <o:lock v:ext="edit" rotation="t"/>
              </v:shape>
            </w:pict>
          </mc:Fallback>
        </mc:AlternateContent>
      </w:r>
    </w:p>
    <w:p w14:paraId="759CEB1E" w14:textId="77777777" w:rsidR="00377FEE" w:rsidRDefault="00000000">
      <w:pPr>
        <w:pBdr>
          <w:top w:val="none" w:sz="4" w:space="0" w:color="000000"/>
          <w:left w:val="none" w:sz="4" w:space="0" w:color="000000"/>
          <w:bottom w:val="none" w:sz="4" w:space="0" w:color="000000"/>
          <w:right w:val="none" w:sz="4" w:space="0" w:color="000000"/>
        </w:pBdr>
        <w:rPr>
          <w:rFonts w:ascii="Carlito" w:hAnsi="Carlito" w:cs="Carlito"/>
        </w:rPr>
      </w:pPr>
      <w:r>
        <w:rPr>
          <w:rFonts w:ascii="Carlito" w:eastAsia="Carlito" w:hAnsi="Carlito" w:cs="Carlito"/>
        </w:rPr>
        <w:tab/>
      </w:r>
    </w:p>
    <w:p w14:paraId="1FF4C620" w14:textId="77777777" w:rsidR="00377FEE" w:rsidRDefault="00377FEE"/>
    <w:p w14:paraId="0C618694" w14:textId="77777777" w:rsidR="00377FEE" w:rsidRDefault="00377FEE"/>
    <w:p w14:paraId="1474A426" w14:textId="77777777" w:rsidR="00377FEE" w:rsidRDefault="00377FEE"/>
    <w:p w14:paraId="59CA0B1D" w14:textId="77777777" w:rsidR="00377FEE" w:rsidRDefault="00377FEE">
      <w:pPr>
        <w:rPr>
          <w:rFonts w:asciiTheme="majorHAnsi" w:hAnsiTheme="majorHAnsi"/>
        </w:rPr>
      </w:pPr>
    </w:p>
    <w:p w14:paraId="3719320D" w14:textId="77777777" w:rsidR="00377FEE" w:rsidRDefault="00377FEE">
      <w:pPr>
        <w:rPr>
          <w:rFonts w:asciiTheme="majorHAnsi" w:hAnsiTheme="majorHAnsi"/>
          <w:bCs/>
          <w:i/>
        </w:rPr>
      </w:pPr>
    </w:p>
    <w:p w14:paraId="5CA1E062" w14:textId="77777777" w:rsidR="00377FEE" w:rsidRDefault="00377FEE">
      <w:pPr>
        <w:rPr>
          <w:rFonts w:asciiTheme="majorHAnsi" w:hAnsiTheme="majorHAnsi"/>
          <w:bCs/>
          <w:i/>
        </w:rPr>
      </w:pPr>
    </w:p>
    <w:p w14:paraId="4929EA44" w14:textId="77777777" w:rsidR="00377FEE" w:rsidRDefault="00377FEE">
      <w:pPr>
        <w:rPr>
          <w:rFonts w:asciiTheme="majorHAnsi" w:hAnsiTheme="majorHAnsi"/>
          <w:bCs/>
          <w:i/>
        </w:rPr>
      </w:pPr>
    </w:p>
    <w:p w14:paraId="680D044C" w14:textId="77777777" w:rsidR="00377FEE" w:rsidRDefault="00377FEE">
      <w:pPr>
        <w:rPr>
          <w:rFonts w:asciiTheme="majorHAnsi" w:hAnsiTheme="majorHAnsi"/>
          <w:bCs/>
          <w:i/>
        </w:rPr>
      </w:pPr>
    </w:p>
    <w:p w14:paraId="566AD065" w14:textId="77777777" w:rsidR="00377FEE" w:rsidRDefault="00377FEE">
      <w:pPr>
        <w:rPr>
          <w:rFonts w:asciiTheme="majorHAnsi" w:hAnsiTheme="majorHAnsi"/>
          <w:bCs/>
          <w:i/>
        </w:rPr>
      </w:pPr>
    </w:p>
    <w:p w14:paraId="5AC98509" w14:textId="77777777" w:rsidR="00377FEE" w:rsidRDefault="00377FEE">
      <w:pPr>
        <w:rPr>
          <w:rFonts w:asciiTheme="majorHAnsi" w:hAnsiTheme="majorHAnsi"/>
          <w:bCs/>
          <w:i/>
        </w:rPr>
      </w:pPr>
    </w:p>
    <w:p w14:paraId="00019C04" w14:textId="77777777" w:rsidR="00377FEE" w:rsidRDefault="00377FEE">
      <w:pPr>
        <w:rPr>
          <w:rFonts w:asciiTheme="majorHAnsi" w:hAnsiTheme="majorHAnsi"/>
          <w:bCs/>
          <w:i/>
        </w:rPr>
      </w:pPr>
    </w:p>
    <w:p w14:paraId="58CAEE96" w14:textId="77777777" w:rsidR="00377FEE" w:rsidRDefault="00377FEE">
      <w:pPr>
        <w:rPr>
          <w:rFonts w:asciiTheme="majorHAnsi" w:hAnsiTheme="majorHAnsi"/>
          <w:bCs/>
          <w:i/>
        </w:rPr>
      </w:pPr>
    </w:p>
    <w:p w14:paraId="7C2FE5FA" w14:textId="77777777" w:rsidR="00377FEE" w:rsidRDefault="00377FEE">
      <w:pPr>
        <w:rPr>
          <w:rFonts w:asciiTheme="majorHAnsi" w:hAnsiTheme="majorHAnsi"/>
          <w:bCs/>
          <w:i/>
        </w:rPr>
      </w:pPr>
    </w:p>
    <w:p w14:paraId="5496AEB1" w14:textId="77777777" w:rsidR="00377FEE" w:rsidRDefault="00377FEE">
      <w:pPr>
        <w:rPr>
          <w:rFonts w:asciiTheme="majorHAnsi" w:hAnsiTheme="majorHAnsi"/>
          <w:bCs/>
          <w:i/>
        </w:rPr>
      </w:pPr>
    </w:p>
    <w:p w14:paraId="33B89458" w14:textId="77777777" w:rsidR="00377FEE" w:rsidRDefault="00377FEE">
      <w:pPr>
        <w:rPr>
          <w:rFonts w:asciiTheme="majorHAnsi" w:hAnsiTheme="majorHAnsi"/>
          <w:bCs/>
          <w:i/>
        </w:rPr>
      </w:pPr>
    </w:p>
    <w:p w14:paraId="4B1FB7DA" w14:textId="77777777" w:rsidR="00377FEE" w:rsidRDefault="00377FEE">
      <w:pPr>
        <w:rPr>
          <w:rFonts w:asciiTheme="majorHAnsi" w:hAnsiTheme="majorHAnsi"/>
          <w:bCs/>
          <w:i/>
        </w:rPr>
      </w:pPr>
    </w:p>
    <w:p w14:paraId="1ADD15C4" w14:textId="77777777" w:rsidR="00377FEE" w:rsidRDefault="00377FEE">
      <w:pPr>
        <w:rPr>
          <w:rFonts w:asciiTheme="majorHAnsi" w:hAnsiTheme="majorHAnsi"/>
          <w:bCs/>
          <w:i/>
        </w:rPr>
      </w:pPr>
    </w:p>
    <w:p w14:paraId="2E98C570" w14:textId="77777777" w:rsidR="00377FEE" w:rsidRDefault="00377FEE">
      <w:pPr>
        <w:rPr>
          <w:rFonts w:asciiTheme="majorHAnsi" w:hAnsiTheme="majorHAnsi"/>
          <w:bCs/>
          <w:i/>
        </w:rPr>
      </w:pPr>
    </w:p>
    <w:p w14:paraId="35DB2D3C" w14:textId="77777777" w:rsidR="00377FEE" w:rsidRDefault="00377FEE">
      <w:pPr>
        <w:rPr>
          <w:rFonts w:asciiTheme="majorHAnsi" w:hAnsiTheme="majorHAnsi"/>
          <w:bCs/>
          <w:i/>
        </w:rPr>
      </w:pPr>
    </w:p>
    <w:p w14:paraId="34631E94" w14:textId="77777777" w:rsidR="00377FEE" w:rsidRDefault="00377FEE">
      <w:pPr>
        <w:rPr>
          <w:rFonts w:asciiTheme="majorHAnsi" w:hAnsiTheme="majorHAnsi"/>
          <w:bCs/>
          <w:i/>
        </w:rPr>
      </w:pPr>
    </w:p>
    <w:p w14:paraId="5998EE0E" w14:textId="77777777" w:rsidR="00377FEE" w:rsidRDefault="00377FEE">
      <w:pPr>
        <w:rPr>
          <w:rFonts w:asciiTheme="majorHAnsi" w:hAnsiTheme="majorHAnsi"/>
          <w:bCs/>
          <w:i/>
        </w:rPr>
      </w:pPr>
    </w:p>
    <w:p w14:paraId="5AF16434" w14:textId="77777777" w:rsidR="00377FEE" w:rsidRDefault="00377FEE">
      <w:pPr>
        <w:rPr>
          <w:rFonts w:asciiTheme="majorHAnsi" w:hAnsiTheme="majorHAnsi"/>
          <w:bCs/>
          <w:i/>
        </w:rPr>
      </w:pPr>
    </w:p>
    <w:p w14:paraId="799E05EA" w14:textId="77777777" w:rsidR="00377FEE" w:rsidRDefault="00377FEE">
      <w:pPr>
        <w:rPr>
          <w:rFonts w:asciiTheme="majorHAnsi" w:hAnsiTheme="majorHAnsi"/>
          <w:bCs/>
          <w:i/>
        </w:rPr>
      </w:pPr>
    </w:p>
    <w:p w14:paraId="3E55D8D8" w14:textId="77777777" w:rsidR="00377FEE" w:rsidRDefault="00000000">
      <w:pPr>
        <w:rPr>
          <w:rFonts w:asciiTheme="majorHAnsi" w:hAnsiTheme="majorHAnsi"/>
          <w:bCs/>
          <w:i/>
        </w:rPr>
      </w:pPr>
      <w:r>
        <w:rPr>
          <w:rFonts w:asciiTheme="majorHAnsi" w:hAnsiTheme="majorHAnsi"/>
          <w:i/>
          <w:iCs/>
        </w:rPr>
        <w:t>Un enrouleur peut être fournit sur demande</w:t>
      </w:r>
      <w:r>
        <w:rPr>
          <w:rFonts w:asciiTheme="majorHAnsi" w:hAnsiTheme="majorHAnsi"/>
          <w:bCs/>
          <w:i/>
          <w:iCs/>
        </w:rPr>
        <w:t>.</w:t>
      </w:r>
    </w:p>
    <w:p w14:paraId="7E6CB374" w14:textId="77777777" w:rsidR="00377FEE" w:rsidRDefault="00377FEE">
      <w:pPr>
        <w:rPr>
          <w:rFonts w:asciiTheme="majorHAnsi" w:hAnsiTheme="majorHAnsi"/>
          <w:i/>
        </w:rPr>
      </w:pPr>
    </w:p>
    <w:p w14:paraId="2B2D52F1" w14:textId="77777777" w:rsidR="00377FEE" w:rsidRDefault="00000000">
      <w:pPr>
        <w:pStyle w:val="Formatlibre"/>
        <w:spacing w:after="120" w:line="276" w:lineRule="auto"/>
        <w:ind w:right="290"/>
        <w:jc w:val="center"/>
        <w:rPr>
          <w:rFonts w:asciiTheme="majorHAnsi" w:hAnsiTheme="majorHAnsi" w:cs="Arial"/>
          <w:b/>
          <w:bCs/>
        </w:rPr>
      </w:pPr>
      <w:r>
        <w:rPr>
          <w:rFonts w:asciiTheme="majorHAnsi" w:hAnsiTheme="majorHAnsi" w:cs="Arial"/>
          <w:b/>
          <w:sz w:val="28"/>
          <w:szCs w:val="28"/>
        </w:rPr>
        <w:t>BON DE RETOUR DU MATERIEL</w:t>
      </w:r>
    </w:p>
    <w:p w14:paraId="04D3AD50" w14:textId="77777777" w:rsidR="00377FEE" w:rsidRDefault="00377FEE">
      <w:pPr>
        <w:pStyle w:val="Formatlibre"/>
        <w:spacing w:after="120" w:line="276" w:lineRule="auto"/>
        <w:ind w:right="290"/>
        <w:jc w:val="center"/>
        <w:rPr>
          <w:rFonts w:asciiTheme="majorHAnsi" w:hAnsiTheme="majorHAnsi" w:cs="Arial"/>
          <w:b/>
          <w:bCs/>
          <w:sz w:val="28"/>
          <w:szCs w:val="28"/>
        </w:rPr>
      </w:pPr>
    </w:p>
    <w:tbl>
      <w:tblPr>
        <w:tblStyle w:val="Grilledutableau"/>
        <w:tblW w:w="10774" w:type="dxa"/>
        <w:tblInd w:w="-743" w:type="dxa"/>
        <w:tblLook w:val="04A0" w:firstRow="1" w:lastRow="0" w:firstColumn="1" w:lastColumn="0" w:noHBand="0" w:noVBand="1"/>
      </w:tblPr>
      <w:tblGrid>
        <w:gridCol w:w="5246"/>
        <w:gridCol w:w="5528"/>
      </w:tblGrid>
      <w:tr w:rsidR="00377FEE" w14:paraId="1222F673" w14:textId="77777777">
        <w:trPr>
          <w:trHeight w:val="998"/>
        </w:trPr>
        <w:tc>
          <w:tcPr>
            <w:tcW w:w="5246" w:type="dxa"/>
          </w:tcPr>
          <w:p w14:paraId="47AC8DA9" w14:textId="77777777" w:rsidR="00377FEE" w:rsidRDefault="00000000">
            <w:pPr>
              <w:pStyle w:val="Formatlibre"/>
              <w:tabs>
                <w:tab w:val="left" w:pos="1500"/>
              </w:tabs>
              <w:spacing w:after="120"/>
              <w:ind w:left="709"/>
              <w:jc w:val="both"/>
              <w:rPr>
                <w:rFonts w:ascii="Calibri" w:hAnsi="Calibri" w:cs="Arial"/>
                <w:b/>
                <w:bCs/>
                <w:sz w:val="28"/>
                <w:szCs w:val="28"/>
              </w:rPr>
            </w:pPr>
            <w:r>
              <w:rPr>
                <w:rFonts w:ascii="Calibri" w:hAnsi="Calibri" w:cs="Arial"/>
                <w:b/>
                <w:sz w:val="28"/>
                <w:szCs w:val="28"/>
              </w:rPr>
              <w:t>NOM Prénom</w:t>
            </w:r>
            <w:r>
              <w:rPr>
                <w:rFonts w:ascii="Calibri" w:hAnsi="Calibri" w:cs="Arial"/>
                <w:sz w:val="28"/>
                <w:szCs w:val="28"/>
              </w:rPr>
              <w:t xml:space="preserve"> </w:t>
            </w:r>
            <w:r>
              <w:rPr>
                <w:rFonts w:ascii="Calibri" w:hAnsi="Calibri" w:cs="Arial"/>
                <w:b/>
                <w:sz w:val="28"/>
                <w:szCs w:val="28"/>
              </w:rPr>
              <w:t xml:space="preserve">– structure </w:t>
            </w:r>
          </w:p>
          <w:p w14:paraId="41C35DB1" w14:textId="77777777" w:rsidR="00377FEE" w:rsidRDefault="00000000">
            <w:pPr>
              <w:pStyle w:val="Formatlibre"/>
              <w:tabs>
                <w:tab w:val="left" w:pos="1500"/>
              </w:tabs>
              <w:spacing w:after="120"/>
              <w:ind w:left="170"/>
              <w:jc w:val="both"/>
              <w:rPr>
                <w:rFonts w:ascii="Calibri" w:hAnsi="Calibri" w:cs="Arial"/>
                <w:color w:val="5F497A" w:themeColor="accent4" w:themeShade="BF"/>
                <w:sz w:val="16"/>
                <w:szCs w:val="16"/>
              </w:rPr>
            </w:pPr>
            <w:proofErr w:type="gramStart"/>
            <w:r>
              <w:rPr>
                <w:rFonts w:ascii="Calibri" w:hAnsi="Calibri" w:cs="Arial"/>
                <w:color w:val="5F497A" w:themeColor="accent4" w:themeShade="BF"/>
                <w:sz w:val="24"/>
                <w:szCs w:val="24"/>
              </w:rPr>
              <w:t>de</w:t>
            </w:r>
            <w:proofErr w:type="gramEnd"/>
            <w:r>
              <w:rPr>
                <w:rFonts w:ascii="Calibri" w:hAnsi="Calibri" w:cs="Arial"/>
                <w:color w:val="5F497A" w:themeColor="accent4" w:themeShade="BF"/>
                <w:sz w:val="24"/>
                <w:szCs w:val="24"/>
              </w:rPr>
              <w:t xml:space="preserve"> la personne en charge du retour du matériel</w:t>
            </w:r>
          </w:p>
        </w:tc>
        <w:tc>
          <w:tcPr>
            <w:tcW w:w="5528" w:type="dxa"/>
          </w:tcPr>
          <w:p w14:paraId="7EEE2C35" w14:textId="77777777" w:rsidR="00377FEE" w:rsidRDefault="00377FEE">
            <w:pPr>
              <w:pStyle w:val="Formatlibre"/>
              <w:spacing w:after="120"/>
              <w:jc w:val="both"/>
              <w:rPr>
                <w:rFonts w:ascii="Calibri" w:hAnsi="Calibri" w:cs="Arial"/>
                <w:sz w:val="28"/>
                <w:szCs w:val="28"/>
              </w:rPr>
            </w:pPr>
          </w:p>
        </w:tc>
      </w:tr>
      <w:tr w:rsidR="00377FEE" w14:paraId="27DA491C" w14:textId="77777777">
        <w:trPr>
          <w:trHeight w:val="684"/>
        </w:trPr>
        <w:tc>
          <w:tcPr>
            <w:tcW w:w="5246" w:type="dxa"/>
          </w:tcPr>
          <w:p w14:paraId="625563BB" w14:textId="77777777" w:rsidR="00377FEE" w:rsidRDefault="00000000">
            <w:pPr>
              <w:pStyle w:val="Formatlibre"/>
              <w:spacing w:after="120" w:line="276" w:lineRule="auto"/>
              <w:ind w:left="170"/>
              <w:jc w:val="both"/>
              <w:rPr>
                <w:rFonts w:ascii="Calibri" w:hAnsi="Calibri" w:cs="Arial"/>
                <w:sz w:val="24"/>
                <w:szCs w:val="24"/>
              </w:rPr>
            </w:pPr>
            <w:r>
              <w:rPr>
                <w:rFonts w:ascii="Calibri" w:hAnsi="Calibri" w:cs="Arial"/>
                <w:b/>
                <w:sz w:val="28"/>
                <w:szCs w:val="28"/>
              </w:rPr>
              <w:br/>
              <w:t>Date et heure</w:t>
            </w:r>
            <w:r>
              <w:rPr>
                <w:rFonts w:ascii="Calibri" w:hAnsi="Calibri" w:cs="Arial"/>
                <w:sz w:val="28"/>
                <w:szCs w:val="28"/>
              </w:rPr>
              <w:t xml:space="preserve"> </w:t>
            </w:r>
            <w:r>
              <w:rPr>
                <w:rFonts w:ascii="Calibri" w:hAnsi="Calibri" w:cs="Arial"/>
                <w:sz w:val="24"/>
                <w:szCs w:val="24"/>
              </w:rPr>
              <w:t>du dépôt du matériel </w:t>
            </w:r>
          </w:p>
        </w:tc>
        <w:tc>
          <w:tcPr>
            <w:tcW w:w="5528" w:type="dxa"/>
          </w:tcPr>
          <w:p w14:paraId="00DFE17E" w14:textId="77777777" w:rsidR="00377FEE" w:rsidRDefault="00377FEE">
            <w:pPr>
              <w:pStyle w:val="Formatlibre"/>
              <w:spacing w:after="120" w:line="276" w:lineRule="auto"/>
              <w:jc w:val="both"/>
              <w:rPr>
                <w:rFonts w:ascii="Calibri" w:hAnsi="Calibri" w:cs="Arial"/>
                <w:sz w:val="28"/>
                <w:szCs w:val="28"/>
              </w:rPr>
            </w:pPr>
          </w:p>
        </w:tc>
      </w:tr>
      <w:tr w:rsidR="00377FEE" w14:paraId="18771199" w14:textId="77777777">
        <w:trPr>
          <w:trHeight w:val="2443"/>
        </w:trPr>
        <w:tc>
          <w:tcPr>
            <w:tcW w:w="5246" w:type="dxa"/>
          </w:tcPr>
          <w:p w14:paraId="7C3382B3" w14:textId="77777777" w:rsidR="00377FEE" w:rsidRDefault="00377FEE">
            <w:pPr>
              <w:pStyle w:val="Formatlibre"/>
              <w:spacing w:after="120" w:line="276" w:lineRule="auto"/>
              <w:ind w:left="170"/>
              <w:jc w:val="both"/>
              <w:rPr>
                <w:rFonts w:ascii="Calibri" w:hAnsi="Calibri" w:cs="Arial"/>
                <w:b/>
                <w:sz w:val="28"/>
                <w:szCs w:val="28"/>
              </w:rPr>
            </w:pPr>
          </w:p>
          <w:p w14:paraId="5F29F5F6" w14:textId="77777777" w:rsidR="00377FEE" w:rsidRDefault="00377FEE">
            <w:pPr>
              <w:pStyle w:val="Formatlibre"/>
              <w:spacing w:after="120" w:line="276" w:lineRule="auto"/>
              <w:ind w:left="170"/>
              <w:jc w:val="both"/>
              <w:rPr>
                <w:rFonts w:ascii="Calibri" w:hAnsi="Calibri" w:cs="Arial"/>
                <w:b/>
                <w:sz w:val="28"/>
                <w:szCs w:val="28"/>
              </w:rPr>
            </w:pPr>
          </w:p>
          <w:p w14:paraId="67CDDA39" w14:textId="77777777" w:rsidR="00377FEE" w:rsidRDefault="00000000">
            <w:pPr>
              <w:pStyle w:val="Formatlibre"/>
              <w:spacing w:after="120" w:line="276" w:lineRule="auto"/>
              <w:ind w:left="170"/>
              <w:rPr>
                <w:rFonts w:ascii="Calibri" w:hAnsi="Calibri" w:cs="Arial"/>
                <w:sz w:val="28"/>
                <w:szCs w:val="28"/>
              </w:rPr>
            </w:pPr>
            <w:r>
              <w:rPr>
                <w:rFonts w:ascii="Calibri" w:hAnsi="Calibri" w:cs="Arial"/>
                <w:b/>
                <w:sz w:val="28"/>
                <w:szCs w:val="28"/>
              </w:rPr>
              <w:t>État du matériel</w:t>
            </w:r>
            <w:r>
              <w:rPr>
                <w:rFonts w:ascii="Calibri" w:hAnsi="Calibri" w:cs="Arial"/>
                <w:sz w:val="28"/>
                <w:szCs w:val="28"/>
              </w:rPr>
              <w:t xml:space="preserve"> (vérification rapide et concertée)</w:t>
            </w:r>
          </w:p>
        </w:tc>
        <w:tc>
          <w:tcPr>
            <w:tcW w:w="5528" w:type="dxa"/>
          </w:tcPr>
          <w:p w14:paraId="5F39A036" w14:textId="77777777" w:rsidR="00377FEE" w:rsidRDefault="00377FEE">
            <w:pPr>
              <w:pStyle w:val="Formatlibre"/>
              <w:spacing w:line="276" w:lineRule="auto"/>
              <w:jc w:val="center"/>
              <w:rPr>
                <w:rFonts w:ascii="Calibri" w:hAnsi="Calibri" w:cs="Arial"/>
                <w:sz w:val="28"/>
                <w:szCs w:val="28"/>
              </w:rPr>
            </w:pPr>
          </w:p>
          <w:p w14:paraId="40C419D9" w14:textId="77777777" w:rsidR="00377FEE" w:rsidRDefault="00000000">
            <w:pPr>
              <w:pStyle w:val="Formatlibre"/>
              <w:spacing w:line="480" w:lineRule="auto"/>
              <w:ind w:left="170"/>
              <w:rPr>
                <w:rFonts w:ascii="Calibri" w:hAnsi="Calibri" w:cs="Arial"/>
                <w:sz w:val="24"/>
                <w:szCs w:val="24"/>
              </w:rPr>
            </w:pPr>
            <w:r>
              <w:rPr>
                <w:rFonts w:ascii="Calibri" w:hAnsi="Calibri" w:cs="Arial"/>
                <w:sz w:val="24"/>
                <w:szCs w:val="24"/>
              </w:rPr>
              <w:t xml:space="preserve">Matériel complet </w:t>
            </w:r>
            <w:r>
              <w:rPr>
                <w:rFonts w:ascii="Calibri" w:hAnsi="Calibri" w:cs="Arial"/>
                <w:sz w:val="28"/>
                <w:szCs w:val="28"/>
              </w:rPr>
              <w:t xml:space="preserve">:       </w:t>
            </w:r>
            <w:r>
              <w:rPr>
                <w:rFonts w:ascii="Calibri" w:hAnsi="Calibri" w:cs="Arial"/>
                <w:sz w:val="24"/>
                <w:szCs w:val="24"/>
              </w:rPr>
              <w:t>OUI             NON</w:t>
            </w:r>
          </w:p>
          <w:p w14:paraId="3E2078B1" w14:textId="77777777" w:rsidR="00377FEE" w:rsidRDefault="00377FEE">
            <w:pPr>
              <w:pStyle w:val="Formatlibre"/>
              <w:spacing w:line="480" w:lineRule="auto"/>
              <w:ind w:left="170"/>
              <w:rPr>
                <w:rFonts w:ascii="Calibri" w:hAnsi="Calibri" w:cs="Arial"/>
                <w:sz w:val="24"/>
                <w:szCs w:val="24"/>
              </w:rPr>
            </w:pPr>
          </w:p>
          <w:p w14:paraId="7EC2F67D" w14:textId="77777777" w:rsidR="00377FEE" w:rsidRDefault="00000000">
            <w:pPr>
              <w:pStyle w:val="Formatlibre"/>
              <w:spacing w:after="120" w:line="480" w:lineRule="auto"/>
              <w:rPr>
                <w:rFonts w:ascii="Calibri" w:hAnsi="Calibri" w:cs="Arial"/>
                <w:sz w:val="24"/>
                <w:szCs w:val="24"/>
              </w:rPr>
            </w:pPr>
            <w:r>
              <w:rPr>
                <w:rFonts w:ascii="Calibri" w:hAnsi="Calibri" w:cs="Arial"/>
                <w:sz w:val="24"/>
                <w:szCs w:val="24"/>
              </w:rPr>
              <w:t xml:space="preserve">Matériel rangé en l’état :  </w:t>
            </w:r>
            <w:r>
              <w:rPr>
                <w:rFonts w:ascii="Calibri" w:hAnsi="Calibri" w:cs="Arial"/>
                <w:sz w:val="28"/>
                <w:szCs w:val="28"/>
              </w:rPr>
              <w:t xml:space="preserve">       </w:t>
            </w:r>
            <w:r>
              <w:rPr>
                <w:rFonts w:ascii="Calibri" w:hAnsi="Calibri" w:cs="Arial"/>
                <w:sz w:val="24"/>
                <w:szCs w:val="24"/>
              </w:rPr>
              <w:t>OUI           NON</w:t>
            </w:r>
          </w:p>
        </w:tc>
      </w:tr>
    </w:tbl>
    <w:p w14:paraId="2AEADB8C" w14:textId="77777777" w:rsidR="00377FEE" w:rsidRDefault="00377FEE">
      <w:pPr>
        <w:pStyle w:val="Formatlibre"/>
        <w:pBdr>
          <w:bottom w:val="single" w:sz="12" w:space="28" w:color="000000"/>
        </w:pBdr>
        <w:tabs>
          <w:tab w:val="center" w:pos="4533"/>
          <w:tab w:val="left" w:pos="5770"/>
        </w:tabs>
        <w:spacing w:after="120" w:line="276" w:lineRule="auto"/>
        <w:ind w:right="290"/>
        <w:jc w:val="both"/>
        <w:rPr>
          <w:rFonts w:ascii="Calibri" w:hAnsi="Calibri" w:cs="Arial"/>
          <w:b/>
          <w:bCs/>
          <w:i/>
          <w:sz w:val="28"/>
          <w:szCs w:val="28"/>
        </w:rPr>
      </w:pPr>
    </w:p>
    <w:p w14:paraId="0EF54FD9" w14:textId="77777777" w:rsidR="00377FEE" w:rsidRDefault="00377FEE">
      <w:pPr>
        <w:pStyle w:val="Formatlibre"/>
        <w:pBdr>
          <w:bottom w:val="single" w:sz="12" w:space="28" w:color="000000"/>
        </w:pBdr>
        <w:tabs>
          <w:tab w:val="center" w:pos="4533"/>
          <w:tab w:val="left" w:pos="5770"/>
        </w:tabs>
        <w:spacing w:after="120" w:line="276" w:lineRule="auto"/>
        <w:ind w:right="290"/>
        <w:jc w:val="both"/>
        <w:rPr>
          <w:rFonts w:ascii="Calibri" w:hAnsi="Calibri" w:cs="Arial"/>
          <w:b/>
          <w:bCs/>
          <w:i/>
          <w:sz w:val="28"/>
          <w:szCs w:val="28"/>
        </w:rPr>
      </w:pPr>
    </w:p>
    <w:p w14:paraId="7404DDF8" w14:textId="77777777" w:rsidR="00377FEE" w:rsidRDefault="00000000">
      <w:pPr>
        <w:pStyle w:val="Formatlibre"/>
        <w:keepLines/>
        <w:pBdr>
          <w:bottom w:val="single" w:sz="12" w:space="31" w:color="000000"/>
        </w:pBdr>
        <w:tabs>
          <w:tab w:val="center" w:pos="4533"/>
          <w:tab w:val="left" w:pos="5770"/>
        </w:tabs>
        <w:spacing w:after="120" w:line="276" w:lineRule="auto"/>
        <w:ind w:right="290"/>
        <w:jc w:val="both"/>
        <w:rPr>
          <w:rFonts w:ascii="Calibri" w:hAnsi="Calibri" w:cs="Arial"/>
          <w:b/>
          <w:bCs/>
          <w:i/>
          <w:sz w:val="28"/>
          <w:szCs w:val="28"/>
        </w:rPr>
      </w:pPr>
      <w:r>
        <w:rPr>
          <w:rFonts w:ascii="Calibri" w:hAnsi="Calibri" w:cs="Arial"/>
          <w:b/>
          <w:i/>
          <w:sz w:val="28"/>
          <w:szCs w:val="28"/>
        </w:rPr>
        <w:t>Signature :</w:t>
      </w:r>
      <w:r>
        <w:rPr>
          <w:rFonts w:ascii="Calibri" w:hAnsi="Calibri" w:cs="Arial"/>
          <w:b/>
          <w:bCs/>
          <w:i/>
          <w:sz w:val="28"/>
          <w:szCs w:val="28"/>
        </w:rPr>
        <w:tab/>
      </w:r>
      <w:r>
        <w:rPr>
          <w:rFonts w:ascii="Calibri" w:hAnsi="Calibri" w:cs="Arial"/>
          <w:b/>
          <w:bCs/>
          <w:i/>
          <w:sz w:val="28"/>
          <w:szCs w:val="28"/>
        </w:rPr>
        <w:tab/>
        <w:t xml:space="preserve"> </w:t>
      </w:r>
    </w:p>
    <w:sectPr w:rsidR="00377FEE">
      <w:headerReference w:type="even" r:id="rId16"/>
      <w:headerReference w:type="default" r:id="rId17"/>
      <w:footerReference w:type="even" r:id="rId18"/>
      <w:footerReference w:type="default" r:id="rId19"/>
      <w:pgSz w:w="11900" w:h="16840"/>
      <w:pgMar w:top="1417" w:right="1417" w:bottom="1417" w:left="1417" w:header="567"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6D35E3" w14:textId="77777777" w:rsidR="004548D3" w:rsidRDefault="004548D3">
      <w:r>
        <w:separator/>
      </w:r>
    </w:p>
  </w:endnote>
  <w:endnote w:type="continuationSeparator" w:id="0">
    <w:p w14:paraId="76FE9B82" w14:textId="77777777" w:rsidR="004548D3" w:rsidRDefault="00454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ヒラギノ角ゴ Pro W3">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arlito">
    <w:altName w:val="Calibri"/>
    <w:panose1 w:val="020B0604020202020204"/>
    <w:charset w:val="00"/>
    <w:family w:val="auto"/>
    <w:pitch w:val="default"/>
  </w:font>
  <w:font w:name="Walkway Black">
    <w:altName w:val="Calibri"/>
    <w:panose1 w:val="020B0604020202020204"/>
    <w:charset w:val="00"/>
    <w:family w:val="auto"/>
    <w:pitch w:val="default"/>
  </w:font>
  <w:font w:name="Walkway Bold">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B7B328" w14:textId="77777777" w:rsidR="00377FEE" w:rsidRDefault="0000000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560BF00" w14:textId="77777777" w:rsidR="00377FEE" w:rsidRDefault="00000000">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360"/>
      <w:rPr>
        <w:rFonts w:ascii="Walkway Bold" w:hAnsi="Walkway Bold"/>
        <w:color w:val="A6A6A6"/>
        <w:sz w:val="16"/>
      </w:rPr>
    </w:pPr>
    <w:r>
      <w:rPr>
        <w:rFonts w:ascii="Walkway Bold" w:hAnsi="Walkway Bold"/>
        <w:color w:val="A6A6A6"/>
        <w:sz w:val="16"/>
      </w:rPr>
      <w:t>ORAVEO Sarl au capital de 5 000 € - 524 055 191 RCS Lyon</w:t>
    </w:r>
  </w:p>
  <w:p w14:paraId="4B8C490D" w14:textId="77777777" w:rsidR="00377FEE" w:rsidRDefault="00000000">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Walkway Bold" w:hAnsi="Walkway Bold"/>
        <w:color w:val="A6A6A6"/>
        <w:sz w:val="16"/>
      </w:rPr>
    </w:pPr>
    <w:r>
      <w:rPr>
        <w:rFonts w:ascii="Walkway Bold" w:hAnsi="Walkway Bold"/>
        <w:color w:val="A6A6A6"/>
        <w:sz w:val="16"/>
      </w:rPr>
      <w:t xml:space="preserve">15, rue de BREST – 69002 Lyon – France - </w:t>
    </w:r>
    <w:hyperlink r:id="rId1" w:tooltip="mailto:contact@oraveo.com" w:history="1">
      <w:r>
        <w:rPr>
          <w:rStyle w:val="Lienhypertexte1"/>
          <w:rFonts w:ascii="Walkway Bold" w:hAnsi="Walkway Bold"/>
          <w:color w:val="A6A6A6"/>
          <w:sz w:val="16"/>
        </w:rPr>
        <w:t>contact@oraveo.com</w:t>
      </w:r>
    </w:hyperlink>
    <w:r>
      <w:rPr>
        <w:rFonts w:ascii="Walkway Bold" w:hAnsi="Walkway Bold"/>
        <w:color w:val="A6A6A6"/>
        <w:sz w:val="16"/>
      </w:rPr>
      <w:t xml:space="preserve"> - </w:t>
    </w:r>
    <w:hyperlink r:id="rId2" w:tooltip="http://www.oraveo.com" w:history="1">
      <w:r>
        <w:rPr>
          <w:rStyle w:val="Lienhypertexte1"/>
          <w:rFonts w:ascii="Walkway Bold" w:hAnsi="Walkway Bold"/>
          <w:color w:val="A6A6A6"/>
          <w:sz w:val="16"/>
        </w:rPr>
        <w:t>www.oraveo.com</w:t>
      </w:r>
    </w:hyperlink>
    <w:r>
      <w:rPr>
        <w:rFonts w:ascii="Walkway Bold" w:hAnsi="Walkway Bold"/>
        <w:color w:val="A6A6A6"/>
        <w:sz w:val="16"/>
      </w:rPr>
      <w:t xml:space="preserve"> </w:t>
    </w:r>
  </w:p>
  <w:p w14:paraId="5FDB60B2" w14:textId="77777777" w:rsidR="00377FEE" w:rsidRDefault="00377FEE">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Times New Roman"/>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3E74DA" w14:textId="77777777" w:rsidR="00377FEE" w:rsidRDefault="00000000">
    <w:pPr>
      <w:pStyle w:val="Pieddepage"/>
      <w:framePr w:wrap="around" w:vAnchor="text" w:hAnchor="margin" w:xAlign="right" w:y="1"/>
      <w:rPr>
        <w:rStyle w:val="Numrodepage"/>
        <w:rFonts w:asciiTheme="majorHAnsi" w:hAnsiTheme="majorHAnsi"/>
        <w:sz w:val="20"/>
        <w:szCs w:val="20"/>
      </w:rPr>
    </w:pPr>
    <w:r>
      <w:rPr>
        <w:rStyle w:val="Numrodepage"/>
        <w:rFonts w:asciiTheme="majorHAnsi" w:hAnsiTheme="majorHAnsi"/>
        <w:sz w:val="20"/>
        <w:szCs w:val="20"/>
      </w:rPr>
      <w:fldChar w:fldCharType="begin"/>
    </w:r>
    <w:r>
      <w:rPr>
        <w:rStyle w:val="Numrodepage"/>
        <w:rFonts w:asciiTheme="majorHAnsi" w:hAnsiTheme="majorHAnsi"/>
        <w:sz w:val="20"/>
        <w:szCs w:val="20"/>
      </w:rPr>
      <w:instrText xml:space="preserve">PAGE  </w:instrText>
    </w:r>
    <w:r>
      <w:rPr>
        <w:rStyle w:val="Numrodepage"/>
        <w:rFonts w:asciiTheme="majorHAnsi" w:hAnsiTheme="majorHAnsi"/>
        <w:sz w:val="20"/>
        <w:szCs w:val="20"/>
      </w:rPr>
      <w:fldChar w:fldCharType="separate"/>
    </w:r>
    <w:r>
      <w:rPr>
        <w:rStyle w:val="Numrodepage"/>
        <w:rFonts w:asciiTheme="majorHAnsi" w:hAnsiTheme="majorHAnsi"/>
        <w:sz w:val="20"/>
        <w:szCs w:val="20"/>
      </w:rPr>
      <w:t>1</w:t>
    </w:r>
    <w:r>
      <w:rPr>
        <w:rStyle w:val="Numrodepage"/>
        <w:rFonts w:asciiTheme="majorHAnsi" w:hAnsiTheme="majorHAnsi"/>
        <w:sz w:val="20"/>
        <w:szCs w:val="20"/>
      </w:rPr>
      <w:fldChar w:fldCharType="end"/>
    </w:r>
  </w:p>
  <w:p w14:paraId="21159C73" w14:textId="77777777" w:rsidR="00377FEE" w:rsidRDefault="00377FE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0026F" w14:textId="77777777" w:rsidR="004548D3" w:rsidRDefault="004548D3">
      <w:r>
        <w:separator/>
      </w:r>
    </w:p>
  </w:footnote>
  <w:footnote w:type="continuationSeparator" w:id="0">
    <w:p w14:paraId="15E126A5" w14:textId="77777777" w:rsidR="004548D3" w:rsidRDefault="00454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100" w:type="dxa"/>
      <w:tblLayout w:type="fixed"/>
      <w:tblLook w:val="0000" w:firstRow="0" w:lastRow="0" w:firstColumn="0" w:lastColumn="0" w:noHBand="0" w:noVBand="0"/>
    </w:tblPr>
    <w:tblGrid>
      <w:gridCol w:w="1604"/>
      <w:gridCol w:w="1526"/>
      <w:gridCol w:w="1457"/>
      <w:gridCol w:w="801"/>
      <w:gridCol w:w="1029"/>
      <w:gridCol w:w="1645"/>
      <w:gridCol w:w="1025"/>
      <w:gridCol w:w="539"/>
    </w:tblGrid>
    <w:tr w:rsidR="00377FEE" w14:paraId="7F43B732" w14:textId="77777777">
      <w:trPr>
        <w:cantSplit/>
        <w:trHeight w:val="600"/>
      </w:trPr>
      <w:tc>
        <w:tcPr>
          <w:tcW w:w="3130"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42F0830F" w14:textId="77777777" w:rsidR="00377FEE" w:rsidRDefault="00377FEE">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c>
        <w:tcPr>
          <w:tcW w:w="6496" w:type="dxa"/>
          <w:gridSpan w:val="6"/>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1FE0B9BB" w14:textId="77777777" w:rsidR="00377FEE" w:rsidRDefault="00000000">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rFonts w:ascii="Walkway Black" w:hAnsi="Walkway Black"/>
              <w:spacing w:val="28"/>
              <w:sz w:val="28"/>
              <w:szCs w:val="22"/>
            </w:rPr>
          </w:pPr>
          <w:r>
            <w:rPr>
              <w:rFonts w:ascii="Walkway Black" w:hAnsi="Walkway Black"/>
              <w:spacing w:val="28"/>
              <w:sz w:val="28"/>
              <w:szCs w:val="22"/>
            </w:rPr>
            <w:t>Document de travail - associatheque.fr</w:t>
          </w:r>
        </w:p>
        <w:p w14:paraId="0B420843" w14:textId="77777777" w:rsidR="00377FEE" w:rsidRDefault="00000000">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18808"/>
              <w:tab w:val="left" w:pos="-18100"/>
              <w:tab w:val="left" w:pos="-17392"/>
              <w:tab w:val="left" w:pos="-16684"/>
              <w:tab w:val="left" w:pos="-15976"/>
              <w:tab w:val="left" w:pos="-15268"/>
              <w:tab w:val="left" w:pos="-14560"/>
              <w:tab w:val="left" w:pos="-13852"/>
              <w:tab w:val="left" w:pos="7655"/>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rFonts w:ascii="Walkway Bold" w:hAnsi="Walkway Bold"/>
              <w:spacing w:val="28"/>
              <w:sz w:val="28"/>
              <w:szCs w:val="22"/>
            </w:rPr>
          </w:pPr>
          <w:r>
            <w:rPr>
              <w:rFonts w:ascii="Walkway Bold" w:hAnsi="Walkway Bold"/>
              <w:spacing w:val="28"/>
              <w:sz w:val="28"/>
              <w:szCs w:val="22"/>
            </w:rPr>
            <w:t>Convention de mécénat type</w:t>
          </w:r>
        </w:p>
      </w:tc>
    </w:tr>
    <w:tr w:rsidR="00377FEE" w14:paraId="0186B207" w14:textId="77777777">
      <w:trPr>
        <w:cantSplit/>
        <w:trHeight w:val="220"/>
      </w:trPr>
      <w:tc>
        <w:tcPr>
          <w:tcW w:w="1604"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3D7F698"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Walkway Black" w:hAnsi="Walkway Black"/>
              <w:sz w:val="20"/>
            </w:rPr>
          </w:pPr>
          <w:r>
            <w:rPr>
              <w:rFonts w:ascii="Walkway Black" w:hAnsi="Walkway Black"/>
              <w:sz w:val="20"/>
            </w:rPr>
            <w:t>Date</w:t>
          </w:r>
        </w:p>
      </w:tc>
      <w:tc>
        <w:tcPr>
          <w:tcW w:w="152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6F1C019A"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s>
            <w:jc w:val="center"/>
            <w:rPr>
              <w:rFonts w:ascii="Walkway Bold" w:hAnsi="Walkway Bold"/>
              <w:sz w:val="20"/>
            </w:rPr>
          </w:pPr>
          <w:r>
            <w:rPr>
              <w:rFonts w:ascii="Walkway Bold" w:hAnsi="Walkway Bold"/>
              <w:sz w:val="20"/>
            </w:rPr>
            <w:t>16/08/10</w:t>
          </w:r>
        </w:p>
      </w:tc>
      <w:tc>
        <w:tcPr>
          <w:tcW w:w="1457"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20766FBA"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s>
            <w:rPr>
              <w:rFonts w:ascii="Walkway Black" w:hAnsi="Walkway Black"/>
              <w:sz w:val="20"/>
            </w:rPr>
          </w:pPr>
          <w:r>
            <w:rPr>
              <w:rFonts w:ascii="Walkway Black" w:hAnsi="Walkway Black"/>
              <w:sz w:val="20"/>
            </w:rPr>
            <w:t>Niv. Diffusion</w:t>
          </w:r>
        </w:p>
      </w:tc>
      <w:tc>
        <w:tcPr>
          <w:tcW w:w="800"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7AA8F2EE"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jc w:val="center"/>
            <w:rPr>
              <w:rFonts w:ascii="Walkway Bold" w:hAnsi="Walkway Bold"/>
              <w:sz w:val="20"/>
            </w:rPr>
          </w:pPr>
          <w:r>
            <w:rPr>
              <w:rFonts w:ascii="Walkway Bold" w:hAnsi="Walkway Bold"/>
              <w:sz w:val="20"/>
            </w:rPr>
            <w:t>0</w:t>
          </w:r>
        </w:p>
      </w:tc>
      <w:tc>
        <w:tcPr>
          <w:tcW w:w="1029"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3E7C95CA"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s>
            <w:jc w:val="center"/>
            <w:rPr>
              <w:rFonts w:ascii="Walkway Black" w:hAnsi="Walkway Black"/>
              <w:sz w:val="20"/>
            </w:rPr>
          </w:pPr>
          <w:r>
            <w:rPr>
              <w:rFonts w:ascii="Walkway Black" w:hAnsi="Walkway Black"/>
              <w:sz w:val="20"/>
            </w:rPr>
            <w:t>Réf. :</w:t>
          </w:r>
        </w:p>
      </w:tc>
      <w:tc>
        <w:tcPr>
          <w:tcW w:w="164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4C8B2D7D"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Walkway Bold" w:hAnsi="Walkway Bold"/>
              <w:sz w:val="18"/>
            </w:rPr>
          </w:pPr>
          <w:r>
            <w:rPr>
              <w:rFonts w:ascii="Walkway Bold" w:hAnsi="Walkway Bold"/>
              <w:sz w:val="18"/>
            </w:rPr>
            <w:t>100809-1</w:t>
          </w:r>
        </w:p>
      </w:tc>
      <w:tc>
        <w:tcPr>
          <w:tcW w:w="102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125CFCB7"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s>
            <w:jc w:val="right"/>
            <w:rPr>
              <w:rFonts w:ascii="Walkway Black" w:hAnsi="Walkway Black"/>
              <w:sz w:val="20"/>
            </w:rPr>
          </w:pPr>
          <w:r>
            <w:rPr>
              <w:rFonts w:ascii="Walkway Black" w:hAnsi="Walkway Black"/>
              <w:sz w:val="20"/>
            </w:rPr>
            <w:t xml:space="preserve">Version </w:t>
          </w:r>
        </w:p>
      </w:tc>
      <w:tc>
        <w:tcPr>
          <w:tcW w:w="538"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1457A5F7" w14:textId="77777777" w:rsidR="00377FEE" w:rsidRDefault="00000000">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s>
            <w:rPr>
              <w:rFonts w:ascii="Walkway Bold" w:hAnsi="Walkway Bold"/>
              <w:sz w:val="20"/>
            </w:rPr>
          </w:pPr>
          <w:r>
            <w:rPr>
              <w:rFonts w:ascii="Walkway Bold" w:hAnsi="Walkway Bold"/>
              <w:sz w:val="20"/>
            </w:rPr>
            <w:t>1.0</w:t>
          </w:r>
        </w:p>
      </w:tc>
    </w:tr>
    <w:tr w:rsidR="00377FEE" w14:paraId="1F20C4F8" w14:textId="77777777">
      <w:trPr>
        <w:cantSplit/>
        <w:trHeight w:val="200"/>
      </w:trPr>
      <w:tc>
        <w:tcPr>
          <w:tcW w:w="3130"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276859FC" w14:textId="77777777" w:rsidR="00377FEE" w:rsidRDefault="00000000">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Walkway Black" w:hAnsi="Walkway Black"/>
              <w:sz w:val="18"/>
            </w:rPr>
          </w:pPr>
          <w:r>
            <w:rPr>
              <w:rFonts w:ascii="Walkway Black" w:hAnsi="Walkway Black"/>
              <w:sz w:val="18"/>
            </w:rPr>
            <w:t>Emplacement de fichier</w:t>
          </w:r>
        </w:p>
      </w:tc>
      <w:tc>
        <w:tcPr>
          <w:tcW w:w="2258"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950EF2A" w14:textId="77777777" w:rsidR="00377FEE" w:rsidRDefault="00377FEE">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c>
        <w:tcPr>
          <w:tcW w:w="2674"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60F402B3" w14:textId="77777777" w:rsidR="00377FEE" w:rsidRDefault="00000000">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Walkway Black" w:hAnsi="Walkway Black"/>
              <w:sz w:val="18"/>
            </w:rPr>
          </w:pPr>
          <w:r>
            <w:rPr>
              <w:rFonts w:ascii="Walkway Black" w:hAnsi="Walkway Black"/>
              <w:sz w:val="18"/>
            </w:rPr>
            <w:t>Nom de fichier</w:t>
          </w:r>
        </w:p>
      </w:tc>
      <w:tc>
        <w:tcPr>
          <w:tcW w:w="1563"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0C18667F" w14:textId="77777777" w:rsidR="00377FEE" w:rsidRDefault="00377FEE">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jc w:val="right"/>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811CEC" w14:textId="77777777" w:rsidR="00377FEE" w:rsidRDefault="00377FEE">
    <w:pPr>
      <w:pStyle w:val="En-tte"/>
      <w:jc w:val="right"/>
    </w:pPr>
  </w:p>
  <w:p w14:paraId="4B3F6718" w14:textId="77777777" w:rsidR="00377FEE" w:rsidRDefault="00000000">
    <w:pPr>
      <w:pStyle w:val="En-tte"/>
    </w:pPr>
    <w:r>
      <w:t xml:space="preserve"> </w:t>
    </w:r>
    <w:r>
      <w:tab/>
    </w:r>
    <w:r>
      <w:rPr>
        <w:noProof/>
        <w:lang w:eastAsia="fr-FR"/>
      </w:rPr>
      <mc:AlternateContent>
        <mc:Choice Requires="wpg">
          <w:drawing>
            <wp:inline distT="0" distB="0" distL="0" distR="0" wp14:anchorId="7BFEEEB5" wp14:editId="7E18980D">
              <wp:extent cx="1645850" cy="843280"/>
              <wp:effectExtent l="0" t="0" r="5715" b="0"/>
              <wp:docPr id="1" name="Image 2" descr="Macintosh HD:Users:preafca-pi:Desktop:ALSACE CINEMAS:LOGOS:LE RÉCIT 2018:Logo baseline 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reafca-pi:Desktop:ALSACE CINEMAS:LOGOS:LE RÉCIT 2018:Logo baseline JPEG.png"/>
                      <pic:cNvPicPr>
                        <a:picLocks noChangeAspect="1"/>
                      </pic:cNvPicPr>
                    </pic:nvPicPr>
                    <pic:blipFill rotWithShape="1">
                      <a:blip r:embed="rId1"/>
                      <a:stretch/>
                    </pic:blipFill>
                    <pic:spPr bwMode="auto">
                      <a:xfrm>
                        <a:off x="0" y="0"/>
                        <a:ext cx="1645850" cy="84328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29.59pt;height:66.40pt;mso-wrap-distance-left:0.00pt;mso-wrap-distance-top:0.00pt;mso-wrap-distance-right:0.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CE4B7"/>
    <w:multiLevelType w:val="multilevel"/>
    <w:tmpl w:val="B8EA68D6"/>
    <w:lvl w:ilvl="0">
      <w:start w:val="1"/>
      <w:numFmt w:val="bullet"/>
      <w:lvlText w:val="·"/>
      <w:lvlJc w:val="left"/>
      <w:pPr>
        <w:ind w:left="709" w:hanging="360"/>
      </w:pPr>
      <w:rPr>
        <w:rFonts w:ascii="Symbol" w:eastAsia="Symbol" w:hAnsi="Symbol" w:cs="Symbol"/>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69B90674"/>
    <w:multiLevelType w:val="multilevel"/>
    <w:tmpl w:val="AB6A741E"/>
    <w:lvl w:ilvl="0">
      <w:start w:val="1"/>
      <w:numFmt w:val="bullet"/>
      <w:lvlText w:val="·"/>
      <w:lvlJc w:val="left"/>
      <w:pPr>
        <w:ind w:left="709" w:hanging="360"/>
      </w:pPr>
      <w:rPr>
        <w:rFonts w:ascii="Symbol" w:eastAsia="Symbol" w:hAnsi="Symbol" w:cs="Symbol"/>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6C996F92"/>
    <w:multiLevelType w:val="multilevel"/>
    <w:tmpl w:val="90EE8E4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728D44CF"/>
    <w:multiLevelType w:val="multilevel"/>
    <w:tmpl w:val="7458BAC0"/>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16cid:durableId="968123274">
    <w:abstractNumId w:val="1"/>
  </w:num>
  <w:num w:numId="2" w16cid:durableId="826823715">
    <w:abstractNumId w:val="0"/>
  </w:num>
  <w:num w:numId="3" w16cid:durableId="1393574814">
    <w:abstractNumId w:val="1"/>
  </w:num>
  <w:num w:numId="4" w16cid:durableId="1962299948">
    <w:abstractNumId w:val="3"/>
  </w:num>
  <w:num w:numId="5" w16cid:durableId="191709141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FEE"/>
    <w:rsid w:val="00377FEE"/>
    <w:rsid w:val="004548D3"/>
    <w:rsid w:val="00BF0D17"/>
    <w:rsid w:val="00C20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69724"/>
  <w15:docId w15:val="{0776AF36-D0CD-CF4A-8812-8141D512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ヒラギノ角ゴ Pro W3" w:hAnsi="Times New Roman" w:cs="Times New Roman"/>
      <w:color w:val="000000"/>
      <w:lang w:eastAsia="en-US"/>
    </w:rPr>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Corps">
    <w:name w:val="Corps"/>
    <w:rPr>
      <w:rFonts w:ascii="Helvetica" w:eastAsia="ヒラギノ角ゴ Pro W3" w:hAnsi="Helvetica" w:cs="Times New Roman"/>
      <w:color w:val="000000"/>
      <w:szCs w:val="20"/>
    </w:rPr>
  </w:style>
  <w:style w:type="paragraph" w:customStyle="1" w:styleId="Standard">
    <w:name w:val="Standard"/>
    <w:rPr>
      <w:rFonts w:ascii="Times New Roman" w:eastAsia="ヒラギノ角ゴ Pro W3" w:hAnsi="Times New Roman" w:cs="Times New Roman"/>
      <w:color w:val="000000"/>
      <w:sz w:val="20"/>
      <w:szCs w:val="20"/>
    </w:rPr>
  </w:style>
  <w:style w:type="character" w:customStyle="1" w:styleId="Lienhypertexte1">
    <w:name w:val="Lien hypertexte1"/>
    <w:rPr>
      <w:color w:val="0000FF"/>
      <w:sz w:val="20"/>
      <w:u w:val="single"/>
    </w:rPr>
  </w:style>
  <w:style w:type="paragraph" w:customStyle="1" w:styleId="Formatlibre">
    <w:name w:val="Format libre"/>
    <w:rPr>
      <w:rFonts w:ascii="Times New Roman" w:eastAsia="ヒラギノ角ゴ Pro W3" w:hAnsi="Times New Roman" w:cs="Times New Roman"/>
      <w:color w:val="000000"/>
      <w:sz w:val="20"/>
      <w:szCs w:val="20"/>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ヒラギノ角ゴ Pro W3" w:hAnsi="Times New Roman" w:cs="Times New Roman"/>
      <w:color w:val="000000"/>
      <w:lang w:eastAsia="en-US"/>
    </w:rPr>
  </w:style>
  <w:style w:type="character" w:styleId="Numrodepage">
    <w:name w:val="page number"/>
    <w:basedOn w:val="Policepardfaut"/>
    <w:uiPriority w:val="99"/>
    <w:semiHidden/>
    <w:unhideWhenUsed/>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Times New Roman" w:eastAsia="ヒラギノ角ゴ Pro W3" w:hAnsi="Times New Roman" w:cs="Times New Roman"/>
      <w:color w:val="000000"/>
      <w:lang w:eastAsia="en-US"/>
    </w:rPr>
  </w:style>
  <w:style w:type="character" w:styleId="Lienhypertexte">
    <w:name w:val="Hyperlink"/>
    <w:basedOn w:val="Policepardfaut"/>
    <w:uiPriority w:val="99"/>
    <w:unhideWhenUsed/>
    <w:rPr>
      <w:color w:val="0000FF" w:themeColor="hyperlink"/>
      <w:u w:val="single"/>
    </w:rPr>
  </w:style>
  <w:style w:type="paragraph" w:styleId="Textedebulles">
    <w:name w:val="Balloon Text"/>
    <w:basedOn w:val="Normal"/>
    <w:link w:val="TextedebullesCar"/>
    <w:uiPriority w:val="99"/>
    <w:semiHidden/>
    <w:unhideWhenUse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Pr>
      <w:rFonts w:ascii="Lucida Grande" w:eastAsia="ヒラギノ角ゴ Pro W3" w:hAnsi="Lucida Grande" w:cs="Lucida Grande"/>
      <w:color w:val="000000"/>
      <w:sz w:val="18"/>
      <w:szCs w:val="18"/>
      <w:lang w:eastAsia="en-US"/>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Times New Roman" w:eastAsia="ヒラギノ角ゴ Pro W3" w:hAnsi="Times New Roman" w:cs="Times New Roman"/>
      <w:color w:val="000000"/>
      <w:sz w:val="20"/>
      <w:szCs w:val="20"/>
      <w:lang w:eastAsia="en-US"/>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imes New Roman" w:eastAsia="ヒラギノ角ゴ Pro W3" w:hAnsi="Times New Roman" w:cs="Times New Roman"/>
      <w:b/>
      <w:bCs/>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http://www.oraveo.com" TargetMode="External"/><Relationship Id="rId1" Type="http://schemas.openxmlformats.org/officeDocument/2006/relationships/hyperlink" Target="mailto:contact@oraveo.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Arial"/>
        <a:cs typeface="Arial"/>
      </a:majorFont>
      <a:minorFont>
        <a:latin typeface="Cambria"/>
        <a:ea typeface="Arial"/>
        <a:cs typeface="Arial"/>
      </a:minorFont>
    </a:fontScheme>
    <a:fmtScheme name="Bureau">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6248</Characters>
  <Application>Microsoft Office Word</Application>
  <DocSecurity>0</DocSecurity>
  <Lines>52</Lines>
  <Paragraphs>14</Paragraphs>
  <ScaleCrop>false</ScaleCrop>
  <Company>Alsace Cinémas</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Gwladys Morinière</dc:creator>
  <cp:keywords/>
  <dc:description/>
  <cp:lastModifiedBy>Sophie Gangloff</cp:lastModifiedBy>
  <cp:revision>2</cp:revision>
  <dcterms:created xsi:type="dcterms:W3CDTF">2026-09-14T12:29:00Z</dcterms:created>
  <dcterms:modified xsi:type="dcterms:W3CDTF">2026-09-14T12:29:00Z</dcterms:modified>
</cp:coreProperties>
</file>